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imes New Roman" w:hAnsi="Times New Roman" w:eastAsia="宋体"/>
          <w:sz w:val="30"/>
          <w:szCs w:val="30"/>
        </w:rPr>
      </w:pPr>
      <w:r>
        <w:rPr>
          <w:rFonts w:ascii="Times New Roman" w:hAnsi="Times New Roman" w:eastAsia="宋体"/>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Times New Roman" w:hAnsi="Times New Roman" w:eastAsia="宋体"/>
          <w:sz w:val="30"/>
          <w:szCs w:val="30"/>
        </w:rPr>
        <w:instrText xml:space="preserve">ADDIN CNKISM.UserStyle</w:instrText>
      </w:r>
      <w:r>
        <w:rPr>
          <w:rFonts w:ascii="Times New Roman" w:hAnsi="Times New Roman" w:eastAsia="宋体"/>
          <w:sz w:val="30"/>
          <w:szCs w:val="30"/>
        </w:rPr>
        <w:fldChar w:fldCharType="end"/>
      </w:r>
      <w:r>
        <w:rPr>
          <w:rFonts w:ascii="Times New Roman" w:hAnsi="Times New Roman" w:eastAsia="宋体"/>
          <w:sz w:val="30"/>
          <w:szCs w:val="30"/>
        </w:rPr>
        <w:drawing>
          <wp:inline distT="0" distB="0" distL="0" distR="0">
            <wp:extent cx="2352675" cy="819150"/>
            <wp:effectExtent l="0" t="0" r="952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352675" cy="819150"/>
                    </a:xfrm>
                    <a:prstGeom prst="rect">
                      <a:avLst/>
                    </a:prstGeom>
                    <a:noFill/>
                    <a:ln>
                      <a:noFill/>
                    </a:ln>
                  </pic:spPr>
                </pic:pic>
              </a:graphicData>
            </a:graphic>
          </wp:inline>
        </w:drawing>
      </w:r>
    </w:p>
    <w:p>
      <w:pPr>
        <w:pStyle w:val="10"/>
        <w:rPr>
          <w:rFonts w:ascii="Times New Roman" w:hAnsi="Times New Roman" w:eastAsia="宋体"/>
          <w:sz w:val="48"/>
          <w:szCs w:val="48"/>
        </w:rPr>
      </w:pPr>
      <w:bookmarkStart w:id="0" w:name="_Toc21071"/>
      <w:bookmarkStart w:id="1" w:name="_Toc17285"/>
      <w:bookmarkStart w:id="2" w:name="_Toc20052"/>
      <w:bookmarkStart w:id="3" w:name="_Toc1359"/>
      <w:r>
        <w:rPr>
          <w:rFonts w:hint="eastAsia" w:ascii="Times New Roman" w:eastAsia="宋体"/>
          <w:sz w:val="48"/>
          <w:szCs w:val="48"/>
        </w:rPr>
        <w:t>青岛</w:t>
      </w:r>
      <w:r>
        <w:rPr>
          <w:rFonts w:ascii="Times New Roman" w:eastAsia="宋体"/>
          <w:sz w:val="48"/>
          <w:szCs w:val="48"/>
        </w:rPr>
        <w:t>科技大学</w:t>
      </w:r>
      <w:r>
        <w:rPr>
          <w:rFonts w:hint="eastAsia" w:ascii="Times New Roman" w:hAnsi="Times New Roman" w:eastAsia="宋体"/>
          <w:sz w:val="48"/>
          <w:szCs w:val="48"/>
        </w:rPr>
        <w:t>ESI</w:t>
      </w:r>
      <w:r>
        <w:rPr>
          <w:rFonts w:hint="eastAsia" w:ascii="Times New Roman" w:eastAsia="宋体"/>
          <w:sz w:val="48"/>
          <w:szCs w:val="48"/>
        </w:rPr>
        <w:t>化学学</w:t>
      </w:r>
      <w:r>
        <w:rPr>
          <w:rFonts w:ascii="Times New Roman" w:eastAsia="宋体"/>
          <w:sz w:val="48"/>
          <w:szCs w:val="48"/>
        </w:rPr>
        <w:t>学科竞争力</w:t>
      </w:r>
      <w:r>
        <w:rPr>
          <w:rFonts w:hint="eastAsia" w:ascii="Times New Roman" w:eastAsia="宋体"/>
          <w:sz w:val="48"/>
          <w:szCs w:val="48"/>
        </w:rPr>
        <w:t>分析</w:t>
      </w:r>
      <w:bookmarkEnd w:id="0"/>
      <w:bookmarkEnd w:id="1"/>
      <w:bookmarkEnd w:id="2"/>
      <w:bookmarkEnd w:id="3"/>
      <w:r>
        <w:rPr>
          <w:rFonts w:hint="eastAsia" w:ascii="Times New Roman" w:eastAsia="宋体"/>
          <w:sz w:val="48"/>
          <w:szCs w:val="48"/>
        </w:rPr>
        <w:t>简报</w:t>
      </w:r>
    </w:p>
    <w:p>
      <w:pPr>
        <w:spacing w:line="360" w:lineRule="auto"/>
        <w:jc w:val="center"/>
        <w:rPr>
          <w:rFonts w:ascii="Times New Roman" w:hAnsi="Times New Roman" w:eastAsia="宋体"/>
          <w:sz w:val="30"/>
          <w:szCs w:val="30"/>
        </w:rPr>
      </w:pPr>
      <w:r>
        <w:rPr>
          <w:rFonts w:hint="eastAsia" w:ascii="Times New Roman" w:hAnsi="Times New Roman" w:eastAsia="宋体"/>
          <w:sz w:val="30"/>
          <w:szCs w:val="30"/>
        </w:rPr>
        <w:t>（内部资料仅供参考）</w:t>
      </w:r>
    </w:p>
    <w:p>
      <w:pPr>
        <w:spacing w:line="360" w:lineRule="auto"/>
        <w:jc w:val="center"/>
        <w:rPr>
          <w:rFonts w:ascii="Times New Roman" w:hAnsi="Times New Roman" w:eastAsia="宋体"/>
          <w:sz w:val="30"/>
          <w:szCs w:val="30"/>
        </w:rPr>
      </w:pPr>
      <w:r>
        <w:rPr>
          <w:rFonts w:hint="eastAsia" w:ascii="Times New Roman" w:hAnsi="Times New Roman" w:eastAsia="宋体"/>
          <w:sz w:val="30"/>
          <w:szCs w:val="30"/>
        </w:rPr>
        <w:t>202</w:t>
      </w:r>
      <w:r>
        <w:rPr>
          <w:rFonts w:ascii="Times New Roman" w:hAnsi="Times New Roman" w:eastAsia="宋体"/>
          <w:sz w:val="30"/>
          <w:szCs w:val="30"/>
        </w:rPr>
        <w:t>3</w:t>
      </w:r>
      <w:r>
        <w:rPr>
          <w:rFonts w:hint="eastAsia" w:ascii="Times New Roman" w:hAnsi="Times New Roman" w:eastAsia="宋体"/>
          <w:sz w:val="30"/>
          <w:szCs w:val="30"/>
        </w:rPr>
        <w:t>年</w:t>
      </w:r>
      <w:r>
        <w:rPr>
          <w:rFonts w:ascii="Times New Roman" w:hAnsi="Times New Roman" w:eastAsia="宋体"/>
          <w:sz w:val="30"/>
          <w:szCs w:val="30"/>
        </w:rPr>
        <w:t>第</w:t>
      </w:r>
      <w:r>
        <w:rPr>
          <w:rFonts w:hint="eastAsia" w:ascii="Times New Roman" w:hAnsi="Times New Roman" w:eastAsia="宋体"/>
          <w:sz w:val="30"/>
          <w:szCs w:val="30"/>
        </w:rPr>
        <w:t>4期</w:t>
      </w:r>
      <w:r>
        <w:rPr>
          <w:rFonts w:ascii="Times New Roman" w:hAnsi="Times New Roman" w:eastAsia="宋体"/>
          <w:sz w:val="30"/>
          <w:szCs w:val="30"/>
        </w:rPr>
        <w:t>（0</w:t>
      </w:r>
      <w:r>
        <w:rPr>
          <w:rFonts w:hint="eastAsia" w:ascii="Times New Roman" w:hAnsi="Times New Roman" w:eastAsia="宋体"/>
          <w:sz w:val="30"/>
          <w:szCs w:val="30"/>
        </w:rPr>
        <w:t>7月</w:t>
      </w:r>
      <w:r>
        <w:rPr>
          <w:rFonts w:ascii="Times New Roman" w:hAnsi="Times New Roman" w:eastAsia="宋体"/>
          <w:sz w:val="30"/>
          <w:szCs w:val="30"/>
        </w:rPr>
        <w:t>）</w:t>
      </w:r>
    </w:p>
    <w:p>
      <w:pPr>
        <w:spacing w:line="360" w:lineRule="auto"/>
        <w:jc w:val="center"/>
        <w:rPr>
          <w:rFonts w:ascii="Times New Roman" w:hAnsi="Times New Roman" w:eastAsia="宋体"/>
          <w:sz w:val="30"/>
          <w:szCs w:val="30"/>
        </w:rPr>
      </w:pPr>
      <w:r>
        <w:rPr>
          <w:rFonts w:hint="eastAsia" w:ascii="Times New Roman" w:hAnsi="Times New Roman" w:eastAsia="宋体"/>
          <w:sz w:val="30"/>
          <w:szCs w:val="30"/>
        </w:rPr>
        <w:t>（总</w:t>
      </w:r>
      <w:r>
        <w:rPr>
          <w:rFonts w:ascii="Times New Roman" w:hAnsi="Times New Roman" w:eastAsia="宋体"/>
          <w:sz w:val="30"/>
          <w:szCs w:val="30"/>
        </w:rPr>
        <w:t>第</w:t>
      </w:r>
      <w:r>
        <w:rPr>
          <w:rFonts w:hint="eastAsia" w:ascii="Times New Roman" w:hAnsi="Times New Roman" w:eastAsia="宋体"/>
          <w:sz w:val="30"/>
          <w:szCs w:val="30"/>
        </w:rPr>
        <w:t>51期）</w:t>
      </w:r>
    </w:p>
    <w:p>
      <w:pPr>
        <w:spacing w:line="360" w:lineRule="auto"/>
        <w:jc w:val="center"/>
        <w:rPr>
          <w:rFonts w:ascii="Times New Roman" w:hAnsi="Times New Roman" w:eastAsia="宋体"/>
          <w:sz w:val="30"/>
          <w:szCs w:val="30"/>
        </w:rPr>
      </w:pPr>
      <w:r>
        <w:rPr>
          <w:rFonts w:ascii="Times New Roman" w:hAnsi="Times New Roman" w:eastAsia="宋体"/>
          <w:sz w:val="30"/>
          <w:szCs w:val="30"/>
        </w:rPr>
        <w:drawing>
          <wp:inline distT="0" distB="0" distL="0" distR="0">
            <wp:extent cx="3619500" cy="378142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6" cstate="print">
                      <a:extLst>
                        <a:ext uri="{28A0092B-C50C-407E-A947-70E740481C1C}">
                          <a14:useLocalDpi xmlns:a14="http://schemas.microsoft.com/office/drawing/2010/main" val="0"/>
                        </a:ext>
                      </a:extLst>
                    </a:blip>
                    <a:srcRect l="20313" t="5901" r="42535" b="23022"/>
                    <a:stretch>
                      <a:fillRect/>
                    </a:stretch>
                  </pic:blipFill>
                  <pic:spPr>
                    <a:xfrm>
                      <a:off x="0" y="0"/>
                      <a:ext cx="3619500" cy="3781425"/>
                    </a:xfrm>
                    <a:prstGeom prst="rect">
                      <a:avLst/>
                    </a:prstGeom>
                    <a:noFill/>
                    <a:ln>
                      <a:noFill/>
                    </a:ln>
                  </pic:spPr>
                </pic:pic>
              </a:graphicData>
            </a:graphic>
          </wp:inline>
        </w:drawing>
      </w:r>
    </w:p>
    <w:p>
      <w:pPr>
        <w:spacing w:line="360" w:lineRule="auto"/>
        <w:rPr>
          <w:rFonts w:ascii="Times New Roman" w:hAnsi="Times New Roman" w:eastAsia="宋体"/>
          <w:sz w:val="30"/>
          <w:szCs w:val="30"/>
        </w:rPr>
      </w:pPr>
      <w:r>
        <w:rPr>
          <w:rFonts w:ascii="Times New Roman" w:hAnsi="Times New Roman" w:eastAsia="宋体"/>
          <w:sz w:val="30"/>
          <w:szCs w:val="30"/>
        </w:rPr>
        <w:pict>
          <v:line id="直接连接符 14" o:spid="_x0000_s1026" o:spt="20" style="position:absolute;left:0pt;margin-left:0.25pt;margin-top:25pt;height:0pt;width:403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">
            <v:path arrowok="t"/>
            <v:fill focussize="0,0"/>
            <v:stroke weight="2pt"/>
            <v:imagedata o:title=""/>
            <o:lock v:ext="edit"/>
            <v:shadow on="t" color="#000000" opacity="24903f" offset="0pt,1.5748031496063pt" origin="0f,32768f"/>
          </v:line>
        </w:pict>
      </w:r>
    </w:p>
    <w:p>
      <w:pPr>
        <w:spacing w:line="360" w:lineRule="auto"/>
        <w:jc w:val="left"/>
        <w:rPr>
          <w:rFonts w:ascii="Times New Roman" w:hAnsi="Times New Roman" w:eastAsia="宋体"/>
          <w:b/>
          <w:sz w:val="28"/>
          <w:szCs w:val="28"/>
        </w:rPr>
      </w:pPr>
      <w:r>
        <w:rPr>
          <w:rFonts w:hint="eastAsia" w:ascii="Times New Roman" w:hAnsi="Times New Roman" w:eastAsia="宋体"/>
          <w:b/>
          <w:sz w:val="28"/>
          <w:szCs w:val="28"/>
        </w:rPr>
        <w:t>青岛</w:t>
      </w:r>
      <w:r>
        <w:rPr>
          <w:rFonts w:ascii="Times New Roman" w:hAnsi="Times New Roman" w:eastAsia="宋体"/>
          <w:b/>
          <w:sz w:val="28"/>
          <w:szCs w:val="28"/>
        </w:rPr>
        <w:t>科技大学图书馆</w:t>
      </w:r>
    </w:p>
    <w:p>
      <w:pPr>
        <w:spacing w:line="360" w:lineRule="auto"/>
        <w:jc w:val="left"/>
        <w:rPr>
          <w:rFonts w:ascii="Times New Roman" w:hAnsi="Times New Roman" w:eastAsia="宋体" w:cs="Arial"/>
          <w:b/>
          <w:color w:val="D9D9D9"/>
        </w:rPr>
        <w:sectPr>
          <w:footerReference r:id="rId3" w:type="default"/>
          <w:pgSz w:w="11906" w:h="16838"/>
          <w:pgMar w:top="1440" w:right="1800" w:bottom="1440" w:left="1800" w:header="851" w:footer="992" w:gutter="0"/>
          <w:cols w:space="720" w:num="1"/>
          <w:docGrid w:type="lines" w:linePitch="312" w:charSpace="0"/>
        </w:sectPr>
      </w:pPr>
      <w:r>
        <w:rPr>
          <w:rFonts w:hint="eastAsia" w:ascii="Times New Roman" w:hAnsi="Times New Roman" w:eastAsia="宋体"/>
          <w:sz w:val="24"/>
          <w:szCs w:val="24"/>
        </w:rPr>
        <w:t>青岛</w:t>
      </w:r>
      <w:r>
        <w:rPr>
          <w:rFonts w:ascii="Times New Roman" w:hAnsi="Times New Roman" w:eastAsia="宋体"/>
          <w:sz w:val="24"/>
          <w:szCs w:val="24"/>
        </w:rPr>
        <w:t>市松岭路</w:t>
      </w:r>
      <w:r>
        <w:rPr>
          <w:rFonts w:hint="eastAsia" w:ascii="Times New Roman" w:hAnsi="Times New Roman" w:eastAsia="宋体"/>
          <w:sz w:val="24"/>
          <w:szCs w:val="24"/>
        </w:rPr>
        <w:t>99号  266061</w:t>
      </w:r>
    </w:p>
    <w:p>
      <w:pPr>
        <w:rPr>
          <w:rFonts w:ascii="Times New Roman" w:hAnsi="Times New Roman" w:eastAsia="宋体"/>
          <w:b/>
          <w:bCs/>
          <w:sz w:val="40"/>
        </w:rPr>
      </w:pPr>
      <w:r>
        <w:rPr>
          <w:rFonts w:hint="eastAsia" w:ascii="Times New Roman" w:eastAsia="宋体"/>
          <w:b/>
          <w:bCs/>
          <w:sz w:val="40"/>
        </w:rPr>
        <w:t>主要内容：</w:t>
      </w:r>
    </w:p>
    <w:p>
      <w:pPr>
        <w:rPr>
          <w:rFonts w:ascii="Times New Roman" w:hAnsi="Times New Roman" w:eastAsia="宋体"/>
        </w:rPr>
      </w:pPr>
    </w:p>
    <w:p>
      <w:pPr>
        <w:numPr>
          <w:ilvl w:val="0"/>
          <w:numId w:val="1"/>
        </w:numPr>
        <w:ind w:left="284"/>
        <w:rPr>
          <w:rFonts w:ascii="Times New Roman" w:hAnsi="Times New Roman" w:eastAsia="宋体" w:cs="Times New Roman"/>
          <w:b/>
          <w:bCs/>
          <w:sz w:val="28"/>
        </w:rPr>
      </w:pPr>
      <w:r>
        <w:rPr>
          <w:rFonts w:ascii="Times New Roman" w:hAnsi="Times New Roman" w:eastAsia="宋体" w:cs="Times New Roman"/>
          <w:b/>
          <w:bCs/>
          <w:sz w:val="28"/>
        </w:rPr>
        <w:t>我校22个学科总体发文情况</w:t>
      </w:r>
    </w:p>
    <w:p>
      <w:pPr>
        <w:numPr>
          <w:ilvl w:val="0"/>
          <w:numId w:val="1"/>
        </w:numPr>
        <w:ind w:left="284"/>
        <w:rPr>
          <w:rFonts w:ascii="Times New Roman" w:hAnsi="Times New Roman" w:eastAsia="宋体" w:cs="Times New Roman"/>
          <w:b/>
          <w:bCs/>
          <w:sz w:val="28"/>
        </w:rPr>
      </w:pPr>
      <w:r>
        <w:rPr>
          <w:rFonts w:ascii="Times New Roman" w:hAnsi="Times New Roman" w:eastAsia="宋体" w:cs="Times New Roman"/>
          <w:b/>
          <w:bCs/>
          <w:sz w:val="28"/>
        </w:rPr>
        <w:t>我校化学ESI国际、国内排名及变化趋势</w:t>
      </w:r>
    </w:p>
    <w:p>
      <w:pPr>
        <w:numPr>
          <w:ilvl w:val="0"/>
          <w:numId w:val="1"/>
        </w:numPr>
        <w:ind w:left="284"/>
        <w:rPr>
          <w:rFonts w:ascii="Times New Roman" w:hAnsi="Times New Roman" w:eastAsia="宋体" w:cs="Times New Roman"/>
          <w:b/>
          <w:bCs/>
          <w:sz w:val="28"/>
        </w:rPr>
      </w:pPr>
      <w:r>
        <w:rPr>
          <w:rFonts w:ascii="Times New Roman" w:hAnsi="Times New Roman" w:eastAsia="宋体" w:cs="Times New Roman"/>
          <w:b/>
          <w:bCs/>
          <w:sz w:val="28"/>
        </w:rPr>
        <w:t>我校化学发文量及被引频次趋势分析</w:t>
      </w:r>
    </w:p>
    <w:p>
      <w:pPr>
        <w:numPr>
          <w:ilvl w:val="0"/>
          <w:numId w:val="1"/>
        </w:numPr>
        <w:ind w:left="284"/>
        <w:rPr>
          <w:rFonts w:ascii="Times New Roman" w:hAnsi="Times New Roman" w:eastAsia="宋体" w:cs="Times New Roman"/>
          <w:b/>
          <w:bCs/>
          <w:sz w:val="28"/>
        </w:rPr>
      </w:pPr>
      <w:r>
        <w:rPr>
          <w:rFonts w:ascii="Times New Roman" w:hAnsi="Times New Roman" w:eastAsia="宋体" w:cs="Times New Roman"/>
          <w:b/>
          <w:bCs/>
          <w:sz w:val="28"/>
        </w:rPr>
        <w:t>山东省省属高校ESI化学国际、国内排名及变化情况</w:t>
      </w:r>
    </w:p>
    <w:p>
      <w:pPr>
        <w:pStyle w:val="22"/>
        <w:numPr>
          <w:ilvl w:val="0"/>
          <w:numId w:val="1"/>
        </w:numPr>
        <w:ind w:left="284" w:firstLine="0" w:firstLineChars="0"/>
        <w:rPr>
          <w:rFonts w:ascii="Times New Roman" w:hAnsi="Times New Roman" w:eastAsia="宋体" w:cs="Times New Roman"/>
          <w:b/>
          <w:bCs/>
          <w:sz w:val="28"/>
        </w:rPr>
      </w:pPr>
      <w:r>
        <w:rPr>
          <w:rFonts w:ascii="Times New Roman" w:hAnsi="Times New Roman" w:eastAsia="宋体" w:cs="Times New Roman"/>
          <w:b/>
          <w:bCs/>
          <w:sz w:val="28"/>
        </w:rPr>
        <w:t>山东省省属高校ESI化学竞争力对比分析</w:t>
      </w:r>
    </w:p>
    <w:p>
      <w:pPr>
        <w:pStyle w:val="22"/>
        <w:numPr>
          <w:ilvl w:val="0"/>
          <w:numId w:val="1"/>
        </w:numPr>
        <w:ind w:left="284" w:firstLine="0" w:firstLineChars="0"/>
        <w:rPr>
          <w:rFonts w:ascii="Times New Roman" w:hAnsi="Times New Roman" w:eastAsia="宋体" w:cs="Times New Roman"/>
          <w:b/>
          <w:bCs/>
          <w:sz w:val="28"/>
        </w:rPr>
      </w:pPr>
      <w:r>
        <w:rPr>
          <w:rFonts w:ascii="Times New Roman" w:hAnsi="Times New Roman" w:eastAsia="宋体" w:cs="Times New Roman"/>
          <w:b/>
          <w:bCs/>
          <w:sz w:val="28"/>
        </w:rPr>
        <w:t>我校ESI化学高被引论文</w:t>
      </w:r>
    </w:p>
    <w:p>
      <w:pPr>
        <w:rPr>
          <w:rFonts w:ascii="Times New Roman" w:hAnsi="Times New Roman" w:eastAsia="宋体"/>
          <w:b/>
          <w:bCs/>
          <w:sz w:val="28"/>
          <w:highlight w:val="yellow"/>
        </w:rPr>
      </w:pPr>
    </w:p>
    <w:p>
      <w:pPr>
        <w:rPr>
          <w:rFonts w:ascii="Times New Roman" w:hAnsi="Times New Roman" w:eastAsia="宋体"/>
          <w:sz w:val="28"/>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rPr>
          <w:rFonts w:ascii="Times New Roman" w:hAnsi="Times New Roman" w:eastAsia="宋体"/>
        </w:rPr>
      </w:pPr>
    </w:p>
    <w:p>
      <w:pPr>
        <w:pStyle w:val="3"/>
        <w:spacing w:after="0"/>
        <w:jc w:val="left"/>
        <w:rPr>
          <w:rFonts w:ascii="Times New Roman" w:hAnsi="Times New Roman" w:eastAsia="宋体" w:cs="Times New Roman"/>
        </w:rPr>
      </w:pPr>
      <w:r>
        <w:rPr>
          <w:rFonts w:hint="eastAsia" w:ascii="Times New Roman" w:hAnsi="Times New Roman" w:eastAsia="宋体" w:cs="Times New Roman"/>
        </w:rPr>
        <w:t>1. 我校22个ESI学科总体发文情况</w:t>
      </w:r>
    </w:p>
    <w:p>
      <w:pPr>
        <w:pStyle w:val="3"/>
        <w:spacing w:before="0" w:after="0" w:line="360" w:lineRule="auto"/>
        <w:rPr>
          <w:rFonts w:ascii="Times New Roman" w:hAnsi="Times New Roman"/>
          <w:sz w:val="28"/>
          <w:szCs w:val="28"/>
        </w:rPr>
      </w:pPr>
      <w:bookmarkStart w:id="4" w:name="_Toc101426557"/>
      <w:r>
        <w:rPr>
          <w:rFonts w:hint="eastAsia" w:ascii="Times New Roman" w:hAnsi="Times New Roman"/>
          <w:sz w:val="28"/>
          <w:szCs w:val="28"/>
        </w:rPr>
        <w:t>1.1</w:t>
      </w:r>
      <w:r>
        <w:rPr>
          <w:rFonts w:ascii="Times New Roman" w:hAnsi="Times New Roman"/>
          <w:sz w:val="28"/>
          <w:szCs w:val="28"/>
        </w:rPr>
        <w:t>我校22个ESI学科发文量及贡献度</w:t>
      </w:r>
      <w:bookmarkEnd w:id="4"/>
    </w:p>
    <w:p>
      <w:pPr>
        <w:spacing w:line="360" w:lineRule="auto"/>
        <w:ind w:firstLine="480" w:firstLineChars="200"/>
      </w:pPr>
      <w:r>
        <w:rPr>
          <w:rFonts w:ascii="Times New Roman" w:hAnsi="Times New Roman"/>
          <w:color w:val="000000"/>
          <w:sz w:val="24"/>
          <w:szCs w:val="24"/>
        </w:rPr>
        <w:t>我校201</w:t>
      </w:r>
      <w:r>
        <w:rPr>
          <w:rFonts w:hint="eastAsia" w:ascii="Times New Roman" w:hAnsi="Times New Roman"/>
          <w:color w:val="000000"/>
          <w:sz w:val="24"/>
          <w:szCs w:val="24"/>
        </w:rPr>
        <w:t>3</w:t>
      </w:r>
      <w:r>
        <w:rPr>
          <w:rFonts w:ascii="Times New Roman" w:hAnsi="Times New Roman"/>
          <w:color w:val="000000"/>
          <w:sz w:val="24"/>
          <w:szCs w:val="24"/>
        </w:rPr>
        <w:t>年至202</w:t>
      </w:r>
      <w:r>
        <w:rPr>
          <w:rFonts w:hint="eastAsia" w:ascii="Times New Roman" w:hAnsi="Times New Roman"/>
          <w:color w:val="000000"/>
          <w:sz w:val="24"/>
          <w:szCs w:val="24"/>
        </w:rPr>
        <w:t>3</w:t>
      </w:r>
      <w:r>
        <w:rPr>
          <w:rFonts w:ascii="Times New Roman" w:hAnsi="Times New Roman"/>
          <w:color w:val="000000"/>
          <w:sz w:val="24"/>
          <w:szCs w:val="24"/>
        </w:rPr>
        <w:t>年论文发表总量共计</w:t>
      </w:r>
      <w:r>
        <w:rPr>
          <w:rFonts w:hint="eastAsia" w:ascii="Times New Roman" w:hAnsi="Times New Roman"/>
          <w:color w:val="000000"/>
          <w:sz w:val="24"/>
          <w:szCs w:val="24"/>
        </w:rPr>
        <w:t>12417</w:t>
      </w:r>
      <w:r>
        <w:rPr>
          <w:rFonts w:ascii="Times New Roman" w:hAnsi="Times New Roman"/>
          <w:color w:val="000000"/>
          <w:sz w:val="24"/>
          <w:szCs w:val="24"/>
        </w:rPr>
        <w:t>篇，22个ESI学科的公开发表论文数量如图1-1所示。论文数量最多的为</w:t>
      </w:r>
      <w:r>
        <w:rPr>
          <w:rFonts w:hint="eastAsia" w:ascii="宋体" w:hAnsi="宋体" w:cs="宋体"/>
          <w:color w:val="000000"/>
          <w:sz w:val="24"/>
          <w:szCs w:val="24"/>
        </w:rPr>
        <w:t>“化学”</w:t>
      </w:r>
      <w:r>
        <w:rPr>
          <w:rFonts w:ascii="Times New Roman" w:hAnsi="Times New Roman"/>
          <w:color w:val="000000"/>
          <w:sz w:val="24"/>
          <w:szCs w:val="24"/>
        </w:rPr>
        <w:t>学科，共发表论文5</w:t>
      </w:r>
      <w:r>
        <w:rPr>
          <w:rFonts w:hint="eastAsia" w:ascii="Times New Roman" w:hAnsi="Times New Roman"/>
          <w:color w:val="000000"/>
          <w:sz w:val="24"/>
          <w:szCs w:val="24"/>
        </w:rPr>
        <w:t>591</w:t>
      </w:r>
      <w:r>
        <w:rPr>
          <w:rFonts w:ascii="Times New Roman" w:hAnsi="Times New Roman"/>
          <w:color w:val="000000"/>
          <w:sz w:val="24"/>
          <w:szCs w:val="24"/>
        </w:rPr>
        <w:t>篇，然后依次为</w:t>
      </w:r>
      <w:r>
        <w:rPr>
          <w:rFonts w:hint="eastAsia" w:ascii="宋体" w:hAnsi="宋体" w:cs="宋体"/>
          <w:color w:val="000000"/>
          <w:sz w:val="24"/>
          <w:szCs w:val="24"/>
        </w:rPr>
        <w:t>“材料科学”、“工程学”、“物理学”、“环境与生态学”、“生物及生物化学”、“计算机科学”</w:t>
      </w:r>
      <w:r>
        <w:rPr>
          <w:rFonts w:ascii="Times New Roman" w:hAnsi="Times New Roman"/>
          <w:color w:val="000000"/>
          <w:sz w:val="24"/>
          <w:szCs w:val="24"/>
        </w:rPr>
        <w:t>等等，我校SCI论文主要集中在</w:t>
      </w:r>
      <w:r>
        <w:rPr>
          <w:rFonts w:hint="eastAsia" w:ascii="Times New Roman" w:hAnsi="Times New Roman"/>
          <w:color w:val="000000"/>
          <w:sz w:val="24"/>
          <w:szCs w:val="24"/>
        </w:rPr>
        <w:t>四</w:t>
      </w:r>
      <w:r>
        <w:rPr>
          <w:rFonts w:ascii="Times New Roman" w:hAnsi="Times New Roman"/>
          <w:color w:val="000000"/>
          <w:sz w:val="24"/>
          <w:szCs w:val="24"/>
        </w:rPr>
        <w:t>个ESI学科（</w:t>
      </w:r>
      <w:r>
        <w:rPr>
          <w:rFonts w:hint="eastAsia" w:ascii="宋体" w:hAnsi="宋体" w:cs="宋体"/>
          <w:color w:val="000000"/>
          <w:sz w:val="24"/>
          <w:szCs w:val="24"/>
        </w:rPr>
        <w:t>“化学”、“材料科学”、“工程学”和“环境与生态学”</w:t>
      </w:r>
      <w:r>
        <w:rPr>
          <w:rFonts w:ascii="Times New Roman" w:hAnsi="Times New Roman"/>
          <w:color w:val="000000"/>
          <w:sz w:val="24"/>
          <w:szCs w:val="24"/>
        </w:rPr>
        <w:t>以及潜力学科（</w:t>
      </w:r>
      <w:r>
        <w:rPr>
          <w:rFonts w:hint="eastAsia" w:ascii="宋体" w:hAnsi="宋体" w:cs="宋体"/>
          <w:color w:val="000000"/>
          <w:sz w:val="24"/>
          <w:szCs w:val="24"/>
        </w:rPr>
        <w:t>“生物及生物化学”、“计算机科学”</w:t>
      </w:r>
      <w:r>
        <w:rPr>
          <w:rFonts w:ascii="Times New Roman" w:hAnsi="Times New Roman"/>
          <w:color w:val="000000"/>
          <w:sz w:val="24"/>
          <w:szCs w:val="24"/>
        </w:rPr>
        <w:t>），</w:t>
      </w:r>
      <w:r>
        <w:rPr>
          <w:rFonts w:hint="eastAsia" w:ascii="宋体" w:hAnsi="宋体" w:cs="宋体"/>
          <w:color w:val="000000"/>
          <w:sz w:val="24"/>
          <w:szCs w:val="24"/>
        </w:rPr>
        <w:t>“化学”学科发</w:t>
      </w:r>
      <w:r>
        <w:rPr>
          <w:rFonts w:ascii="Times New Roman" w:hAnsi="Times New Roman"/>
          <w:color w:val="000000"/>
          <w:sz w:val="24"/>
          <w:szCs w:val="24"/>
        </w:rPr>
        <w:t>文量占论文总数的45.</w:t>
      </w:r>
      <w:r>
        <w:rPr>
          <w:rFonts w:hint="eastAsia" w:ascii="Times New Roman" w:hAnsi="Times New Roman"/>
          <w:color w:val="000000"/>
          <w:sz w:val="24"/>
          <w:szCs w:val="24"/>
        </w:rPr>
        <w:t>03</w:t>
      </w:r>
      <w:r>
        <w:rPr>
          <w:rFonts w:ascii="Times New Roman" w:hAnsi="Times New Roman"/>
          <w:color w:val="000000"/>
          <w:sz w:val="24"/>
          <w:szCs w:val="24"/>
        </w:rPr>
        <w:t>%，约是第二名</w:t>
      </w:r>
      <w:r>
        <w:rPr>
          <w:rFonts w:hint="eastAsia" w:ascii="宋体" w:hAnsi="宋体" w:cs="宋体"/>
          <w:color w:val="000000"/>
          <w:sz w:val="24"/>
          <w:szCs w:val="24"/>
        </w:rPr>
        <w:t>“材料科学”</w:t>
      </w:r>
      <w:r>
        <w:rPr>
          <w:rFonts w:ascii="Times New Roman" w:hAnsi="Times New Roman"/>
          <w:color w:val="000000"/>
          <w:sz w:val="24"/>
          <w:szCs w:val="24"/>
        </w:rPr>
        <w:t>发文量的2.</w:t>
      </w:r>
      <w:r>
        <w:rPr>
          <w:rFonts w:hint="eastAsia" w:ascii="Times New Roman" w:hAnsi="Times New Roman"/>
          <w:color w:val="000000"/>
          <w:sz w:val="24"/>
          <w:szCs w:val="24"/>
        </w:rPr>
        <w:t>2</w:t>
      </w:r>
      <w:r>
        <w:rPr>
          <w:rFonts w:ascii="Times New Roman" w:hAnsi="Times New Roman"/>
          <w:color w:val="000000"/>
          <w:sz w:val="24"/>
          <w:szCs w:val="24"/>
        </w:rPr>
        <w:t>倍。其中，</w:t>
      </w:r>
      <w:r>
        <w:rPr>
          <w:rFonts w:hint="eastAsia" w:ascii="Times New Roman" w:hAnsi="Times New Roman"/>
          <w:color w:val="000000"/>
          <w:sz w:val="24"/>
          <w:szCs w:val="24"/>
        </w:rPr>
        <w:t>四</w:t>
      </w:r>
      <w:r>
        <w:rPr>
          <w:rFonts w:ascii="Times New Roman" w:hAnsi="Times New Roman"/>
          <w:color w:val="000000"/>
          <w:sz w:val="24"/>
          <w:szCs w:val="24"/>
        </w:rPr>
        <w:t>个ESI学科论文数量占所有学科发文量的8</w:t>
      </w:r>
      <w:r>
        <w:rPr>
          <w:rFonts w:hint="eastAsia" w:ascii="Times New Roman" w:hAnsi="Times New Roman"/>
          <w:color w:val="000000"/>
          <w:sz w:val="24"/>
          <w:szCs w:val="24"/>
        </w:rPr>
        <w:t>4.18</w:t>
      </w:r>
      <w:r>
        <w:rPr>
          <w:rFonts w:ascii="Times New Roman" w:hAnsi="Times New Roman"/>
          <w:color w:val="000000"/>
          <w:sz w:val="24"/>
          <w:szCs w:val="24"/>
        </w:rPr>
        <w:t>%，是我校SCI论文的主要贡献学科；</w:t>
      </w:r>
      <w:r>
        <w:rPr>
          <w:rFonts w:hint="eastAsia" w:ascii="Times New Roman" w:hAnsi="Times New Roman"/>
          <w:color w:val="000000"/>
          <w:sz w:val="24"/>
          <w:szCs w:val="24"/>
        </w:rPr>
        <w:t>其中，化学学科的贡献度为</w:t>
      </w:r>
      <w:r>
        <w:rPr>
          <w:rFonts w:ascii="Times New Roman" w:hAnsi="Times New Roman"/>
          <w:color w:val="000000"/>
          <w:sz w:val="24"/>
          <w:szCs w:val="24"/>
        </w:rPr>
        <w:t>45.</w:t>
      </w:r>
      <w:r>
        <w:rPr>
          <w:rFonts w:hint="eastAsia" w:ascii="Times New Roman" w:hAnsi="Times New Roman"/>
          <w:color w:val="000000"/>
          <w:sz w:val="24"/>
          <w:szCs w:val="24"/>
        </w:rPr>
        <w:t>03%，材料科学贡献度为20.79%，工程学贡献度为15.09%，</w:t>
      </w:r>
      <w:r>
        <w:rPr>
          <w:rFonts w:hint="eastAsia" w:ascii="宋体" w:hAnsi="宋体" w:cs="宋体"/>
          <w:color w:val="000000"/>
          <w:sz w:val="24"/>
          <w:szCs w:val="24"/>
        </w:rPr>
        <w:t>环境与生态学贡献度为</w:t>
      </w:r>
      <w:r>
        <w:rPr>
          <w:rFonts w:hint="eastAsia" w:ascii="Times New Roman" w:hAnsi="Times New Roman"/>
          <w:color w:val="000000"/>
          <w:sz w:val="24"/>
          <w:szCs w:val="24"/>
        </w:rPr>
        <w:t>3.27%（见图</w:t>
      </w:r>
      <w:r>
        <w:rPr>
          <w:rFonts w:ascii="Times New Roman" w:hAnsi="Times New Roman"/>
          <w:color w:val="000000"/>
          <w:sz w:val="24"/>
          <w:szCs w:val="24"/>
        </w:rPr>
        <w:t>1</w:t>
      </w:r>
      <w:r>
        <w:rPr>
          <w:rFonts w:hint="eastAsia" w:ascii="Times New Roman" w:hAnsi="Times New Roman"/>
          <w:color w:val="000000"/>
          <w:sz w:val="24"/>
          <w:szCs w:val="24"/>
        </w:rPr>
        <w:t>-2）；两</w:t>
      </w:r>
      <w:r>
        <w:rPr>
          <w:rFonts w:ascii="Times New Roman" w:hAnsi="Times New Roman"/>
          <w:color w:val="000000"/>
          <w:sz w:val="24"/>
          <w:szCs w:val="24"/>
        </w:rPr>
        <w:t>个潜力学科发文量占论文总数的</w:t>
      </w:r>
      <w:r>
        <w:rPr>
          <w:rFonts w:hint="eastAsia" w:ascii="Times New Roman" w:hAnsi="Times New Roman"/>
          <w:color w:val="000000"/>
          <w:sz w:val="24"/>
          <w:szCs w:val="24"/>
        </w:rPr>
        <w:t>4.22</w:t>
      </w:r>
      <w:r>
        <w:rPr>
          <w:rFonts w:ascii="Times New Roman" w:hAnsi="Times New Roman"/>
          <w:color w:val="000000"/>
          <w:sz w:val="24"/>
          <w:szCs w:val="24"/>
        </w:rPr>
        <w:t>%，ESI学科及ESI潜力学科共计发文量为</w:t>
      </w:r>
      <w:r>
        <w:rPr>
          <w:rFonts w:hint="eastAsia" w:ascii="Times New Roman" w:hAnsi="Times New Roman"/>
          <w:color w:val="000000"/>
          <w:sz w:val="24"/>
          <w:szCs w:val="24"/>
        </w:rPr>
        <w:t>10978</w:t>
      </w:r>
      <w:r>
        <w:rPr>
          <w:rFonts w:ascii="Times New Roman" w:hAnsi="Times New Roman"/>
          <w:color w:val="000000"/>
          <w:sz w:val="24"/>
          <w:szCs w:val="24"/>
        </w:rPr>
        <w:t>篇，占22个学科公开发表论文总数的</w:t>
      </w:r>
      <w:r>
        <w:rPr>
          <w:rFonts w:hint="eastAsia" w:ascii="Times New Roman" w:hAnsi="Times New Roman"/>
          <w:color w:val="000000"/>
          <w:sz w:val="24"/>
          <w:szCs w:val="24"/>
        </w:rPr>
        <w:t>88.40</w:t>
      </w:r>
      <w:r>
        <w:rPr>
          <w:rFonts w:ascii="Times New Roman" w:hAnsi="Times New Roman"/>
          <w:color w:val="000000"/>
          <w:sz w:val="24"/>
          <w:szCs w:val="24"/>
        </w:rPr>
        <w:t>%。</w:t>
      </w:r>
    </w:p>
    <w:p>
      <w:pPr>
        <w:spacing w:line="360" w:lineRule="auto"/>
        <w:jc w:val="center"/>
      </w:pPr>
      <w:r>
        <w:drawing>
          <wp:inline distT="0" distB="0" distL="0" distR="0">
            <wp:extent cx="5274945" cy="2484120"/>
            <wp:effectExtent l="19050" t="0" r="1905" b="0"/>
            <wp:docPr id="7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2"/>
                    <pic:cNvPicPr>
                      <a:picLocks noChangeAspect="1" noChangeArrowheads="1"/>
                    </pic:cNvPicPr>
                  </pic:nvPicPr>
                  <pic:blipFill>
                    <a:blip r:embed="rId7"/>
                    <a:srcRect/>
                    <a:stretch>
                      <a:fillRect/>
                    </a:stretch>
                  </pic:blipFill>
                  <pic:spPr>
                    <a:xfrm>
                      <a:off x="0" y="0"/>
                      <a:ext cx="5274945" cy="2484120"/>
                    </a:xfrm>
                    <a:prstGeom prst="rect">
                      <a:avLst/>
                    </a:prstGeom>
                    <a:noFill/>
                    <a:ln w="9525">
                      <a:noFill/>
                      <a:miter lim="800000"/>
                      <a:headEnd/>
                      <a:tailEnd/>
                    </a:ln>
                  </pic:spPr>
                </pic:pic>
              </a:graphicData>
            </a:graphic>
          </wp:inline>
        </w:drawing>
      </w:r>
    </w:p>
    <w:p>
      <w:pPr>
        <w:spacing w:line="360" w:lineRule="auto"/>
        <w:jc w:val="center"/>
        <w:rPr>
          <w:rFonts w:ascii="Times New Roman" w:hAnsi="宋体"/>
          <w:szCs w:val="24"/>
        </w:rPr>
      </w:pPr>
      <w:r>
        <w:rPr>
          <w:rFonts w:hint="eastAsia" w:ascii="Times New Roman" w:hAnsi="宋体"/>
          <w:szCs w:val="24"/>
        </w:rPr>
        <w:t>图</w:t>
      </w:r>
      <w:r>
        <w:rPr>
          <w:rFonts w:ascii="Times New Roman" w:hAnsi="宋体"/>
          <w:szCs w:val="24"/>
        </w:rPr>
        <w:t>1</w:t>
      </w:r>
      <w:r>
        <w:rPr>
          <w:rFonts w:hint="eastAsia" w:ascii="Times New Roman" w:hAnsi="宋体"/>
          <w:szCs w:val="24"/>
        </w:rPr>
        <w:t>-</w:t>
      </w:r>
      <w:r>
        <w:rPr>
          <w:rFonts w:ascii="Times New Roman" w:hAnsi="宋体"/>
          <w:szCs w:val="24"/>
        </w:rPr>
        <w:t xml:space="preserve">1 </w:t>
      </w:r>
      <w:r>
        <w:rPr>
          <w:rFonts w:hint="eastAsia" w:ascii="Times New Roman" w:hAnsi="宋体"/>
          <w:szCs w:val="24"/>
        </w:rPr>
        <w:t>我校22个学科20</w:t>
      </w:r>
      <w:r>
        <w:rPr>
          <w:rFonts w:ascii="Times New Roman" w:hAnsi="宋体"/>
          <w:szCs w:val="24"/>
        </w:rPr>
        <w:t>1</w:t>
      </w:r>
      <w:r>
        <w:rPr>
          <w:rFonts w:hint="eastAsia" w:ascii="Times New Roman" w:hAnsi="宋体"/>
          <w:szCs w:val="24"/>
        </w:rPr>
        <w:t>3-20</w:t>
      </w:r>
      <w:r>
        <w:rPr>
          <w:rFonts w:ascii="Times New Roman" w:hAnsi="宋体"/>
          <w:szCs w:val="24"/>
        </w:rPr>
        <w:t>2</w:t>
      </w:r>
      <w:r>
        <w:rPr>
          <w:rFonts w:hint="eastAsia" w:ascii="Times New Roman" w:hAnsi="宋体"/>
          <w:szCs w:val="24"/>
        </w:rPr>
        <w:t>3发文总量</w:t>
      </w:r>
    </w:p>
    <w:p>
      <w:pPr>
        <w:jc w:val="center"/>
        <w:rPr>
          <w:rFonts w:ascii="宋体" w:cs="宋体"/>
          <w:kern w:val="0"/>
          <w:sz w:val="22"/>
          <w:lang w:val="zh-CN"/>
        </w:rPr>
      </w:pPr>
    </w:p>
    <w:p>
      <w:pPr>
        <w:jc w:val="center"/>
        <w:rPr>
          <w:rFonts w:ascii="宋体" w:cs="宋体"/>
          <w:kern w:val="0"/>
          <w:sz w:val="22"/>
          <w:lang w:val="zh-CN"/>
        </w:rPr>
      </w:pPr>
      <w:r>
        <w:drawing>
          <wp:inline distT="0" distB="0" distL="0" distR="0">
            <wp:extent cx="5274945" cy="3098165"/>
            <wp:effectExtent l="19050" t="0" r="1905" b="0"/>
            <wp:docPr id="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1"/>
                    <pic:cNvPicPr>
                      <a:picLocks noChangeAspect="1" noChangeArrowheads="1"/>
                    </pic:cNvPicPr>
                  </pic:nvPicPr>
                  <pic:blipFill>
                    <a:blip r:embed="rId8"/>
                    <a:srcRect/>
                    <a:stretch>
                      <a:fillRect/>
                    </a:stretch>
                  </pic:blipFill>
                  <pic:spPr>
                    <a:xfrm>
                      <a:off x="0" y="0"/>
                      <a:ext cx="5274945" cy="3098165"/>
                    </a:xfrm>
                    <a:prstGeom prst="rect">
                      <a:avLst/>
                    </a:prstGeom>
                    <a:noFill/>
                    <a:ln w="9525">
                      <a:noFill/>
                      <a:miter lim="800000"/>
                      <a:headEnd/>
                      <a:tailEnd/>
                    </a:ln>
                  </pic:spPr>
                </pic:pic>
              </a:graphicData>
            </a:graphic>
          </wp:inline>
        </w:drawing>
      </w:r>
    </w:p>
    <w:p>
      <w:pPr>
        <w:spacing w:line="360" w:lineRule="auto"/>
        <w:jc w:val="center"/>
        <w:rPr>
          <w:rFonts w:ascii="Times New Roman" w:hAnsi="宋体"/>
          <w:szCs w:val="24"/>
        </w:rPr>
      </w:pPr>
      <w:r>
        <w:rPr>
          <w:rFonts w:hint="eastAsia" w:ascii="Times New Roman" w:hAnsi="宋体"/>
          <w:szCs w:val="24"/>
        </w:rPr>
        <w:t>图</w:t>
      </w:r>
      <w:r>
        <w:rPr>
          <w:rFonts w:ascii="Times New Roman" w:hAnsi="宋体"/>
          <w:szCs w:val="24"/>
        </w:rPr>
        <w:t>1</w:t>
      </w:r>
      <w:r>
        <w:rPr>
          <w:rFonts w:hint="eastAsia" w:ascii="Times New Roman" w:hAnsi="宋体"/>
          <w:szCs w:val="24"/>
        </w:rPr>
        <w:t>-</w:t>
      </w:r>
      <w:r>
        <w:rPr>
          <w:rFonts w:ascii="Times New Roman" w:hAnsi="宋体"/>
          <w:szCs w:val="24"/>
        </w:rPr>
        <w:t>2 22个学科</w:t>
      </w:r>
      <w:r>
        <w:rPr>
          <w:rFonts w:hint="eastAsia" w:ascii="Times New Roman" w:hAnsi="宋体"/>
          <w:szCs w:val="24"/>
        </w:rPr>
        <w:t>对我校ESI排名的贡献度(发文量占比)</w:t>
      </w:r>
    </w:p>
    <w:p>
      <w:pPr>
        <w:pStyle w:val="3"/>
        <w:spacing w:before="0" w:after="0" w:line="360" w:lineRule="auto"/>
        <w:rPr>
          <w:rFonts w:ascii="Times New Roman" w:hAnsi="Times New Roman"/>
          <w:sz w:val="28"/>
          <w:szCs w:val="28"/>
        </w:rPr>
      </w:pPr>
      <w:r>
        <w:rPr>
          <w:rFonts w:hint="eastAsia" w:ascii="Times New Roman" w:hAnsi="Times New Roman"/>
          <w:sz w:val="28"/>
          <w:szCs w:val="28"/>
        </w:rPr>
        <w:t>1.2 我校22个ESI学科被引频次及贡献度</w:t>
      </w:r>
    </w:p>
    <w:p>
      <w:pPr>
        <w:spacing w:line="360" w:lineRule="auto"/>
        <w:ind w:firstLine="480" w:firstLineChars="200"/>
        <w:rPr>
          <w:rFonts w:ascii="Times New Roman" w:hAnsi="Times New Roman"/>
          <w:color w:val="000000"/>
          <w:sz w:val="24"/>
          <w:szCs w:val="24"/>
        </w:rPr>
      </w:pPr>
      <w:r>
        <w:rPr>
          <w:rFonts w:ascii="Times New Roman" w:hAnsi="Times New Roman"/>
          <w:color w:val="000000"/>
          <w:sz w:val="24"/>
          <w:szCs w:val="24"/>
        </w:rPr>
        <w:t>我校22个学科的总被引频次为</w:t>
      </w:r>
      <w:r>
        <w:rPr>
          <w:rFonts w:hint="eastAsia" w:ascii="Times New Roman" w:hAnsi="Times New Roman"/>
          <w:color w:val="000000"/>
          <w:sz w:val="24"/>
          <w:szCs w:val="24"/>
        </w:rPr>
        <w:t>219079</w:t>
      </w:r>
      <w:r>
        <w:rPr>
          <w:rFonts w:ascii="Times New Roman" w:hAnsi="Times New Roman"/>
          <w:color w:val="000000"/>
          <w:sz w:val="24"/>
          <w:szCs w:val="24"/>
        </w:rPr>
        <w:t>次</w:t>
      </w:r>
      <w:r>
        <w:rPr>
          <w:rFonts w:hint="eastAsia" w:ascii="Times New Roman" w:hAnsi="Times New Roman"/>
          <w:color w:val="000000"/>
          <w:sz w:val="24"/>
          <w:szCs w:val="24"/>
        </w:rPr>
        <w:t>（见图</w:t>
      </w:r>
      <w:r>
        <w:rPr>
          <w:rFonts w:ascii="Times New Roman" w:hAnsi="Times New Roman"/>
          <w:color w:val="000000"/>
          <w:sz w:val="24"/>
          <w:szCs w:val="24"/>
        </w:rPr>
        <w:t>1</w:t>
      </w:r>
      <w:r>
        <w:rPr>
          <w:rFonts w:hint="eastAsia" w:ascii="Times New Roman" w:hAnsi="Times New Roman"/>
          <w:color w:val="000000"/>
          <w:sz w:val="24"/>
          <w:szCs w:val="24"/>
        </w:rPr>
        <w:t>-3）</w:t>
      </w:r>
      <w:r>
        <w:rPr>
          <w:rFonts w:ascii="Times New Roman" w:hAnsi="Times New Roman"/>
          <w:color w:val="000000"/>
          <w:sz w:val="24"/>
          <w:szCs w:val="24"/>
        </w:rPr>
        <w:t>，各学科被引频次与论文数量大致呈现相同的分布，</w:t>
      </w:r>
      <w:r>
        <w:rPr>
          <w:rFonts w:hint="eastAsia" w:ascii="宋体" w:hAnsi="宋体" w:cs="宋体"/>
          <w:color w:val="000000"/>
          <w:sz w:val="24"/>
          <w:szCs w:val="24"/>
        </w:rPr>
        <w:t>“化学”学</w:t>
      </w:r>
      <w:r>
        <w:rPr>
          <w:rFonts w:ascii="Times New Roman" w:hAnsi="Times New Roman"/>
          <w:color w:val="000000"/>
          <w:sz w:val="24"/>
          <w:szCs w:val="24"/>
        </w:rPr>
        <w:t>科仍为被引频次最高的学科，总被引频次为</w:t>
      </w:r>
      <w:r>
        <w:rPr>
          <w:rFonts w:hint="eastAsia" w:ascii="Times New Roman" w:hAnsi="Times New Roman"/>
          <w:color w:val="000000"/>
          <w:sz w:val="24"/>
          <w:szCs w:val="24"/>
        </w:rPr>
        <w:t>96650</w:t>
      </w:r>
      <w:r>
        <w:rPr>
          <w:rFonts w:ascii="Times New Roman" w:hAnsi="Times New Roman"/>
          <w:color w:val="000000"/>
          <w:sz w:val="24"/>
          <w:szCs w:val="24"/>
        </w:rPr>
        <w:t>次，占总被引用量的</w:t>
      </w:r>
      <w:r>
        <w:rPr>
          <w:rFonts w:hint="eastAsia" w:ascii="Times New Roman" w:hAnsi="Times New Roman"/>
          <w:color w:val="000000"/>
          <w:sz w:val="24"/>
          <w:szCs w:val="24"/>
        </w:rPr>
        <w:t>44.12</w:t>
      </w:r>
      <w:r>
        <w:rPr>
          <w:rFonts w:ascii="Times New Roman" w:hAnsi="Times New Roman"/>
          <w:color w:val="000000"/>
          <w:sz w:val="24"/>
          <w:szCs w:val="24"/>
        </w:rPr>
        <w:t>%，然后依次为</w:t>
      </w:r>
      <w:r>
        <w:rPr>
          <w:rFonts w:hint="eastAsia" w:ascii="宋体" w:hAnsi="宋体" w:cs="宋体"/>
          <w:color w:val="000000"/>
          <w:sz w:val="24"/>
          <w:szCs w:val="24"/>
        </w:rPr>
        <w:t>“材料科学”、“工程学”、“物理学”、“环境与生态学”、“生物及生物化学”、“计算机科学”等等。其中，“材料科学”</w:t>
      </w:r>
      <w:r>
        <w:rPr>
          <w:rFonts w:hint="eastAsia" w:ascii="Times New Roman" w:hAnsi="Times New Roman"/>
          <w:color w:val="000000"/>
          <w:sz w:val="24"/>
          <w:szCs w:val="24"/>
        </w:rPr>
        <w:t>被引排名第二，总被引频次为57919次，在所有学科被引总量中的贡献度为26.44%，“工程学”被引排名第三，总被引频次为33124次，在所有学科被引总量中的贡献度为15.12%，“物理学”总被引频次为7768次，在所有学科被引总量中的贡献度为3.55%（见图</w:t>
      </w:r>
      <w:r>
        <w:rPr>
          <w:rFonts w:ascii="Times New Roman" w:hAnsi="Times New Roman"/>
          <w:color w:val="000000"/>
          <w:sz w:val="24"/>
          <w:szCs w:val="24"/>
        </w:rPr>
        <w:t>1</w:t>
      </w:r>
      <w:r>
        <w:rPr>
          <w:rFonts w:hint="eastAsia" w:ascii="Times New Roman" w:hAnsi="Times New Roman"/>
          <w:color w:val="000000"/>
          <w:sz w:val="24"/>
          <w:szCs w:val="24"/>
        </w:rPr>
        <w:t>-4）。</w:t>
      </w:r>
    </w:p>
    <w:p>
      <w:pPr>
        <w:spacing w:line="360" w:lineRule="auto"/>
        <w:ind w:firstLine="480" w:firstLineChars="200"/>
      </w:pPr>
      <w:r>
        <w:rPr>
          <w:rFonts w:ascii="Times New Roman" w:hAnsi="Times New Roman"/>
          <w:color w:val="000000"/>
          <w:sz w:val="24"/>
          <w:szCs w:val="24"/>
        </w:rPr>
        <w:t>CNCI值可以反映一个学科的被引用表现，并且能够对多个学科进行横向的比较。从图1-3可以看出，我校各学科CNCI值最高的为</w:t>
      </w:r>
      <w:r>
        <w:rPr>
          <w:rFonts w:hint="eastAsia" w:ascii="宋体" w:hAnsi="宋体" w:eastAsia="宋体" w:cs="宋体"/>
          <w:color w:val="000000"/>
          <w:sz w:val="24"/>
          <w:szCs w:val="24"/>
        </w:rPr>
        <w:t>“经济学与商学”</w:t>
      </w:r>
      <w:r>
        <w:rPr>
          <w:rFonts w:ascii="Times New Roman" w:hAnsi="Times New Roman"/>
          <w:color w:val="000000"/>
          <w:sz w:val="24"/>
          <w:szCs w:val="24"/>
        </w:rPr>
        <w:t>（CNCI=</w:t>
      </w:r>
      <w:r>
        <w:rPr>
          <w:rFonts w:hint="eastAsia" w:ascii="Times New Roman" w:hAnsi="Times New Roman"/>
          <w:color w:val="000000"/>
          <w:sz w:val="24"/>
          <w:szCs w:val="24"/>
        </w:rPr>
        <w:t>6.52</w:t>
      </w:r>
      <w:r>
        <w:rPr>
          <w:rFonts w:ascii="Times New Roman" w:hAnsi="Times New Roman"/>
          <w:color w:val="000000"/>
          <w:sz w:val="24"/>
          <w:szCs w:val="24"/>
        </w:rPr>
        <w:t>），超过全球平均水平（CNCI=1），</w:t>
      </w:r>
      <w:r>
        <w:rPr>
          <w:rFonts w:hint="eastAsia" w:ascii="Times New Roman" w:hAnsi="Times New Roman"/>
          <w:color w:val="000000"/>
          <w:sz w:val="24"/>
          <w:szCs w:val="24"/>
        </w:rPr>
        <w:t>另外，我校CNCI值较高的的学科还有“综合学科”（CNCI=3.90）、“数学”（CNCI=2.69）、“一般社会科学”（CNCI=2.42），说明这些学科领域的论文质量较高，整体被引用情况表现良好；</w:t>
      </w:r>
      <w:r>
        <w:rPr>
          <w:rFonts w:ascii="Times New Roman" w:hAnsi="Times New Roman"/>
          <w:color w:val="000000"/>
          <w:sz w:val="24"/>
          <w:szCs w:val="24"/>
        </w:rPr>
        <w:t xml:space="preserve"> </w:t>
      </w:r>
      <w:r>
        <w:rPr>
          <w:rFonts w:hint="eastAsia" w:ascii="宋体" w:hAnsi="宋体" w:eastAsia="宋体" w:cs="宋体"/>
          <w:color w:val="000000"/>
          <w:sz w:val="24"/>
          <w:szCs w:val="24"/>
        </w:rPr>
        <w:t>“植物与动物科学”</w:t>
      </w:r>
      <w:r>
        <w:rPr>
          <w:rFonts w:ascii="Times New Roman" w:hAnsi="Times New Roman"/>
          <w:color w:val="000000"/>
          <w:sz w:val="24"/>
          <w:szCs w:val="24"/>
        </w:rPr>
        <w:t>CNCI值为1.0</w:t>
      </w:r>
      <w:r>
        <w:rPr>
          <w:rFonts w:hint="eastAsia" w:ascii="Times New Roman" w:hAnsi="Times New Roman"/>
          <w:color w:val="000000"/>
          <w:sz w:val="24"/>
          <w:szCs w:val="24"/>
        </w:rPr>
        <w:t>7</w:t>
      </w:r>
      <w:r>
        <w:rPr>
          <w:rFonts w:ascii="Times New Roman" w:hAnsi="Times New Roman"/>
          <w:color w:val="000000"/>
          <w:sz w:val="24"/>
          <w:szCs w:val="24"/>
        </w:rPr>
        <w:t>，论文的被引表现</w:t>
      </w:r>
      <w:r>
        <w:rPr>
          <w:rFonts w:hint="eastAsia" w:ascii="Times New Roman" w:hAnsi="Times New Roman"/>
          <w:color w:val="000000"/>
          <w:sz w:val="24"/>
          <w:szCs w:val="24"/>
        </w:rPr>
        <w:t>稍超过</w:t>
      </w:r>
      <w:r>
        <w:rPr>
          <w:rFonts w:ascii="Times New Roman" w:hAnsi="Times New Roman"/>
          <w:color w:val="000000"/>
          <w:sz w:val="24"/>
          <w:szCs w:val="24"/>
        </w:rPr>
        <w:t>全球平均水平；</w:t>
      </w:r>
      <w:r>
        <w:rPr>
          <w:rFonts w:hint="eastAsia" w:ascii="Times New Roman" w:hAnsi="Times New Roman"/>
          <w:color w:val="000000"/>
          <w:sz w:val="24"/>
          <w:szCs w:val="24"/>
        </w:rPr>
        <w:t>四</w:t>
      </w:r>
      <w:r>
        <w:rPr>
          <w:rFonts w:ascii="Times New Roman" w:hAnsi="Times New Roman"/>
          <w:color w:val="000000"/>
          <w:sz w:val="24"/>
          <w:szCs w:val="24"/>
        </w:rPr>
        <w:t>个ESI学科（</w:t>
      </w:r>
      <w:r>
        <w:rPr>
          <w:rFonts w:hint="eastAsia" w:ascii="宋体" w:hAnsi="宋体" w:eastAsia="宋体" w:cs="宋体"/>
          <w:color w:val="000000"/>
          <w:sz w:val="24"/>
          <w:szCs w:val="24"/>
        </w:rPr>
        <w:t>“化学”、“材料科学”、“工程学”</w:t>
      </w:r>
      <w:r>
        <w:rPr>
          <w:rFonts w:hint="eastAsia" w:ascii="Times New Roman" w:hAnsi="Times New Roman"/>
          <w:color w:val="000000"/>
          <w:sz w:val="24"/>
          <w:szCs w:val="24"/>
        </w:rPr>
        <w:t>和</w:t>
      </w:r>
      <w:r>
        <w:rPr>
          <w:rFonts w:hint="eastAsia" w:ascii="宋体" w:hAnsi="宋体" w:cs="宋体"/>
          <w:color w:val="000000"/>
          <w:sz w:val="24"/>
          <w:szCs w:val="24"/>
        </w:rPr>
        <w:t>“环境与生态学”</w:t>
      </w:r>
      <w:r>
        <w:rPr>
          <w:rFonts w:ascii="Times New Roman" w:hAnsi="Times New Roman"/>
          <w:color w:val="000000"/>
          <w:sz w:val="24"/>
          <w:szCs w:val="24"/>
        </w:rPr>
        <w:t>）的CNCI值分别为1.2</w:t>
      </w:r>
      <w:r>
        <w:rPr>
          <w:rFonts w:hint="eastAsia" w:ascii="Times New Roman" w:hAnsi="Times New Roman"/>
          <w:color w:val="000000"/>
          <w:sz w:val="24"/>
          <w:szCs w:val="24"/>
        </w:rPr>
        <w:t>5</w:t>
      </w:r>
      <w:r>
        <w:rPr>
          <w:rFonts w:ascii="Times New Roman" w:hAnsi="Times New Roman"/>
          <w:color w:val="000000"/>
          <w:sz w:val="24"/>
          <w:szCs w:val="24"/>
        </w:rPr>
        <w:t>、1.3</w:t>
      </w:r>
      <w:r>
        <w:rPr>
          <w:rFonts w:hint="eastAsia" w:ascii="Times New Roman" w:hAnsi="Times New Roman"/>
          <w:color w:val="000000"/>
          <w:sz w:val="24"/>
          <w:szCs w:val="24"/>
        </w:rPr>
        <w:t>7</w:t>
      </w:r>
      <w:r>
        <w:rPr>
          <w:rFonts w:ascii="Times New Roman" w:hAnsi="Times New Roman"/>
          <w:color w:val="000000"/>
          <w:sz w:val="24"/>
          <w:szCs w:val="24"/>
        </w:rPr>
        <w:t>、1.7</w:t>
      </w:r>
      <w:r>
        <w:rPr>
          <w:rFonts w:hint="eastAsia" w:ascii="Times New Roman" w:hAnsi="Times New Roman"/>
          <w:color w:val="000000"/>
          <w:sz w:val="24"/>
          <w:szCs w:val="24"/>
        </w:rPr>
        <w:t>8、1.55</w:t>
      </w:r>
      <w:r>
        <w:rPr>
          <w:rFonts w:ascii="Times New Roman" w:hAnsi="Times New Roman"/>
          <w:color w:val="000000"/>
          <w:sz w:val="24"/>
          <w:szCs w:val="24"/>
        </w:rPr>
        <w:t>，均高于全球平均水平；潜力学科（</w:t>
      </w:r>
      <w:r>
        <w:rPr>
          <w:rFonts w:hint="eastAsia" w:ascii="宋体" w:hAnsi="宋体" w:eastAsia="宋体" w:cs="宋体"/>
          <w:color w:val="000000"/>
          <w:sz w:val="24"/>
          <w:szCs w:val="24"/>
        </w:rPr>
        <w:t>“生物及生物化学”</w:t>
      </w:r>
      <w:r>
        <w:rPr>
          <w:rFonts w:hint="eastAsia" w:ascii="Times New Roman" w:hAnsi="Times New Roman"/>
          <w:color w:val="000000"/>
          <w:sz w:val="24"/>
          <w:szCs w:val="24"/>
        </w:rPr>
        <w:t>、</w:t>
      </w:r>
      <w:r>
        <w:rPr>
          <w:rFonts w:hint="eastAsia" w:ascii="宋体" w:hAnsi="宋体" w:cs="宋体"/>
          <w:color w:val="000000"/>
          <w:sz w:val="24"/>
          <w:szCs w:val="24"/>
        </w:rPr>
        <w:t>“计算机科学”</w:t>
      </w:r>
      <w:r>
        <w:rPr>
          <w:rFonts w:ascii="Times New Roman" w:hAnsi="Times New Roman"/>
          <w:color w:val="000000"/>
          <w:sz w:val="24"/>
          <w:szCs w:val="24"/>
        </w:rPr>
        <w:t>）的CNCI值分别为1.</w:t>
      </w:r>
      <w:r>
        <w:rPr>
          <w:rFonts w:hint="eastAsia" w:ascii="Times New Roman" w:hAnsi="Times New Roman"/>
          <w:color w:val="000000"/>
          <w:sz w:val="24"/>
          <w:szCs w:val="24"/>
        </w:rPr>
        <w:t>46</w:t>
      </w:r>
      <w:r>
        <w:rPr>
          <w:rFonts w:ascii="Times New Roman" w:hAnsi="Times New Roman"/>
          <w:color w:val="000000"/>
          <w:sz w:val="24"/>
          <w:szCs w:val="24"/>
        </w:rPr>
        <w:t>、1.</w:t>
      </w:r>
      <w:r>
        <w:rPr>
          <w:rFonts w:hint="eastAsia" w:ascii="Times New Roman" w:hAnsi="Times New Roman"/>
          <w:color w:val="000000"/>
          <w:sz w:val="24"/>
          <w:szCs w:val="24"/>
        </w:rPr>
        <w:t>45</w:t>
      </w:r>
      <w:r>
        <w:rPr>
          <w:rFonts w:ascii="Times New Roman" w:hAnsi="Times New Roman"/>
          <w:color w:val="000000"/>
          <w:sz w:val="24"/>
          <w:szCs w:val="24"/>
        </w:rPr>
        <w:t>，稍高于全球平均水平，仍需进一步提高论文质量。</w:t>
      </w:r>
    </w:p>
    <w:p>
      <w:pPr>
        <w:spacing w:line="360" w:lineRule="auto"/>
        <w:jc w:val="center"/>
      </w:pPr>
      <w:r>
        <w:drawing>
          <wp:inline distT="0" distB="0" distL="0" distR="0">
            <wp:extent cx="5274945" cy="3814445"/>
            <wp:effectExtent l="19050" t="0" r="1905" b="0"/>
            <wp:docPr id="7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19"/>
                    <pic:cNvPicPr>
                      <a:picLocks noChangeAspect="1" noChangeArrowheads="1"/>
                    </pic:cNvPicPr>
                  </pic:nvPicPr>
                  <pic:blipFill>
                    <a:blip r:embed="rId9"/>
                    <a:srcRect/>
                    <a:stretch>
                      <a:fillRect/>
                    </a:stretch>
                  </pic:blipFill>
                  <pic:spPr>
                    <a:xfrm>
                      <a:off x="0" y="0"/>
                      <a:ext cx="5274945" cy="3814445"/>
                    </a:xfrm>
                    <a:prstGeom prst="rect">
                      <a:avLst/>
                    </a:prstGeom>
                    <a:noFill/>
                    <a:ln w="9525">
                      <a:noFill/>
                      <a:miter lim="800000"/>
                      <a:headEnd/>
                      <a:tailEnd/>
                    </a:ln>
                  </pic:spPr>
                </pic:pic>
              </a:graphicData>
            </a:graphic>
          </wp:inline>
        </w:drawing>
      </w:r>
    </w:p>
    <w:p>
      <w:pPr>
        <w:spacing w:line="360" w:lineRule="auto"/>
        <w:jc w:val="center"/>
      </w:pPr>
      <w:r>
        <w:rPr>
          <w:rFonts w:hint="eastAsia" w:ascii="Times New Roman" w:hAnsi="宋体"/>
          <w:szCs w:val="24"/>
        </w:rPr>
        <w:t>图</w:t>
      </w:r>
      <w:r>
        <w:rPr>
          <w:rFonts w:ascii="Times New Roman" w:hAnsi="宋体"/>
          <w:szCs w:val="24"/>
        </w:rPr>
        <w:t>1</w:t>
      </w:r>
      <w:r>
        <w:rPr>
          <w:rFonts w:hint="eastAsia" w:ascii="Times New Roman" w:hAnsi="宋体"/>
          <w:szCs w:val="24"/>
        </w:rPr>
        <w:t>-</w:t>
      </w:r>
      <w:r>
        <w:rPr>
          <w:rFonts w:ascii="Times New Roman" w:hAnsi="宋体"/>
          <w:szCs w:val="24"/>
        </w:rPr>
        <w:t xml:space="preserve">3 </w:t>
      </w:r>
      <w:r>
        <w:rPr>
          <w:rFonts w:hint="eastAsia" w:ascii="Times New Roman" w:hAnsi="宋体"/>
          <w:szCs w:val="24"/>
        </w:rPr>
        <w:t>我校22个学科20</w:t>
      </w:r>
      <w:r>
        <w:rPr>
          <w:rFonts w:ascii="Times New Roman" w:hAnsi="宋体"/>
          <w:szCs w:val="24"/>
        </w:rPr>
        <w:t>1</w:t>
      </w:r>
      <w:r>
        <w:rPr>
          <w:rFonts w:hint="eastAsia" w:ascii="Times New Roman" w:hAnsi="宋体"/>
          <w:szCs w:val="24"/>
        </w:rPr>
        <w:t>3-20</w:t>
      </w:r>
      <w:r>
        <w:rPr>
          <w:rFonts w:ascii="Times New Roman" w:hAnsi="宋体"/>
          <w:szCs w:val="24"/>
        </w:rPr>
        <w:t>2</w:t>
      </w:r>
      <w:r>
        <w:rPr>
          <w:rFonts w:hint="eastAsia" w:ascii="Times New Roman" w:hAnsi="宋体"/>
          <w:szCs w:val="24"/>
        </w:rPr>
        <w:t>3论文被引情况和CNCI值</w:t>
      </w:r>
    </w:p>
    <w:p>
      <w:pPr>
        <w:ind w:left="-426" w:leftChars="-203" w:right="-340" w:rightChars="-162" w:firstLine="2"/>
        <w:jc w:val="center"/>
      </w:pPr>
      <w:r>
        <w:drawing>
          <wp:inline distT="0" distB="0" distL="0" distR="0">
            <wp:extent cx="5267960" cy="2981960"/>
            <wp:effectExtent l="19050" t="0" r="8890" b="0"/>
            <wp:docPr id="7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0"/>
                    <pic:cNvPicPr>
                      <a:picLocks noChangeAspect="1" noChangeArrowheads="1"/>
                    </pic:cNvPicPr>
                  </pic:nvPicPr>
                  <pic:blipFill>
                    <a:blip r:embed="rId10"/>
                    <a:srcRect/>
                    <a:stretch>
                      <a:fillRect/>
                    </a:stretch>
                  </pic:blipFill>
                  <pic:spPr>
                    <a:xfrm>
                      <a:off x="0" y="0"/>
                      <a:ext cx="5267960" cy="2981960"/>
                    </a:xfrm>
                    <a:prstGeom prst="rect">
                      <a:avLst/>
                    </a:prstGeom>
                    <a:noFill/>
                    <a:ln w="9525">
                      <a:noFill/>
                      <a:miter lim="800000"/>
                      <a:headEnd/>
                      <a:tailEnd/>
                    </a:ln>
                  </pic:spPr>
                </pic:pic>
              </a:graphicData>
            </a:graphic>
          </wp:inline>
        </w:drawing>
      </w:r>
    </w:p>
    <w:p>
      <w:pPr>
        <w:spacing w:line="360" w:lineRule="auto"/>
        <w:jc w:val="center"/>
      </w:pPr>
      <w:r>
        <w:rPr>
          <w:rFonts w:hint="eastAsia" w:ascii="Times New Roman" w:hAnsi="宋体"/>
          <w:szCs w:val="24"/>
        </w:rPr>
        <w:t>图</w:t>
      </w:r>
      <w:r>
        <w:rPr>
          <w:rFonts w:ascii="Times New Roman" w:hAnsi="宋体"/>
          <w:szCs w:val="24"/>
        </w:rPr>
        <w:t>1</w:t>
      </w:r>
      <w:r>
        <w:rPr>
          <w:rFonts w:hint="eastAsia" w:ascii="Times New Roman" w:hAnsi="宋体"/>
          <w:szCs w:val="24"/>
        </w:rPr>
        <w:t>-4  22个学科对我校ESI排名的贡献度(被引频次占比)</w:t>
      </w:r>
    </w:p>
    <w:p>
      <w:pPr>
        <w:pStyle w:val="3"/>
        <w:numPr>
          <w:ilvl w:val="0"/>
          <w:numId w:val="2"/>
        </w:numPr>
        <w:spacing w:after="0"/>
        <w:jc w:val="left"/>
        <w:rPr>
          <w:rFonts w:ascii="Times New Roman" w:hAnsi="Times New Roman" w:eastAsia="宋体" w:cs="Times New Roman"/>
        </w:rPr>
      </w:pPr>
      <w:r>
        <w:rPr>
          <w:rFonts w:ascii="Times New Roman" w:hAnsi="Times New Roman" w:eastAsia="宋体" w:cs="Times New Roman"/>
        </w:rPr>
        <w:t>我校</w:t>
      </w:r>
      <w:r>
        <w:rPr>
          <w:rFonts w:hint="eastAsia" w:ascii="Times New Roman" w:hAnsi="Times New Roman" w:eastAsia="宋体" w:cs="Times New Roman"/>
        </w:rPr>
        <w:t>化</w:t>
      </w:r>
      <w:r>
        <w:rPr>
          <w:rFonts w:ascii="Times New Roman" w:hAnsi="Times New Roman" w:eastAsia="宋体" w:cs="Times New Roman"/>
        </w:rPr>
        <w:t>学ESI国际、国内排名及变化趋势</w:t>
      </w:r>
    </w:p>
    <w:p>
      <w:pPr>
        <w:spacing w:line="360" w:lineRule="auto"/>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从ESI国际排名来看，我校化学从202</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年7月的287名攀升至202</w:t>
      </w: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年7月的183名，国际上升幅度显著；我校化学国内排名从202</w:t>
      </w:r>
      <w:r>
        <w:rPr>
          <w:rFonts w:ascii="Times New Roman" w:hAnsi="Times New Roman" w:eastAsia="宋体" w:cs="Times New Roman"/>
          <w:kern w:val="0"/>
          <w:sz w:val="24"/>
          <w:szCs w:val="24"/>
        </w:rPr>
        <w:t>1</w:t>
      </w:r>
      <w:r>
        <w:rPr>
          <w:rFonts w:hint="eastAsia" w:ascii="Times New Roman" w:hAnsi="Times New Roman" w:eastAsia="宋体" w:cs="Times New Roman"/>
          <w:kern w:val="0"/>
          <w:sz w:val="24"/>
          <w:szCs w:val="24"/>
        </w:rPr>
        <w:t>年7月的50位上升至202</w:t>
      </w:r>
      <w:r>
        <w:rPr>
          <w:rFonts w:ascii="Times New Roman" w:hAnsi="Times New Roman" w:eastAsia="宋体" w:cs="Times New Roman"/>
          <w:kern w:val="0"/>
          <w:sz w:val="24"/>
          <w:szCs w:val="24"/>
        </w:rPr>
        <w:t>3</w:t>
      </w:r>
      <w:r>
        <w:rPr>
          <w:rFonts w:hint="eastAsia" w:ascii="Times New Roman" w:hAnsi="Times New Roman" w:eastAsia="宋体" w:cs="Times New Roman"/>
          <w:kern w:val="0"/>
          <w:sz w:val="24"/>
          <w:szCs w:val="24"/>
        </w:rPr>
        <w:t>年7月的43位，国内排名稳步上升</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如表2-1和图2-1所示。</w:t>
      </w:r>
    </w:p>
    <w:p>
      <w:pPr>
        <w:spacing w:line="360" w:lineRule="auto"/>
        <w:jc w:val="center"/>
        <w:rPr>
          <w:rFonts w:ascii="Times New Roman" w:hAnsi="Times New Roman" w:eastAsia="宋体" w:cs="Times New Roman"/>
          <w:bCs/>
          <w:sz w:val="18"/>
          <w:szCs w:val="18"/>
        </w:rPr>
      </w:pPr>
      <w:r>
        <w:rPr>
          <w:rFonts w:hint="eastAsia" w:ascii="Times New Roman" w:hAnsi="宋体" w:eastAsia="宋体" w:cs="Times New Roman"/>
          <w:bCs/>
          <w:sz w:val="18"/>
          <w:szCs w:val="18"/>
        </w:rPr>
        <w:t>表</w:t>
      </w:r>
      <w:r>
        <w:rPr>
          <w:rFonts w:ascii="Times New Roman" w:hAnsi="Times New Roman" w:eastAsia="宋体" w:cs="Times New Roman"/>
          <w:bCs/>
          <w:sz w:val="18"/>
          <w:szCs w:val="18"/>
        </w:rPr>
        <w:t>2</w:t>
      </w:r>
      <w:r>
        <w:rPr>
          <w:rFonts w:hint="eastAsia" w:ascii="Times New Roman" w:hAnsi="Times New Roman" w:eastAsia="宋体" w:cs="Times New Roman"/>
          <w:bCs/>
          <w:sz w:val="18"/>
          <w:szCs w:val="18"/>
        </w:rPr>
        <w:t xml:space="preserve">-1  </w:t>
      </w:r>
      <w:r>
        <w:rPr>
          <w:rFonts w:ascii="Times New Roman" w:hAnsi="宋体" w:eastAsia="宋体" w:cs="Times New Roman"/>
          <w:bCs/>
          <w:sz w:val="18"/>
          <w:szCs w:val="18"/>
        </w:rPr>
        <w:t>我校</w:t>
      </w:r>
      <w:r>
        <w:rPr>
          <w:rFonts w:hint="eastAsia" w:ascii="Times New Roman" w:hAnsi="宋体" w:eastAsia="宋体" w:cs="Times New Roman"/>
          <w:bCs/>
          <w:sz w:val="18"/>
          <w:szCs w:val="18"/>
        </w:rPr>
        <w:t>化</w:t>
      </w:r>
      <w:r>
        <w:rPr>
          <w:rFonts w:ascii="Times New Roman" w:hAnsi="宋体" w:eastAsia="宋体" w:cs="Times New Roman"/>
          <w:bCs/>
          <w:sz w:val="18"/>
          <w:szCs w:val="18"/>
        </w:rPr>
        <w:t>学</w:t>
      </w:r>
      <w:r>
        <w:rPr>
          <w:rFonts w:ascii="Times New Roman" w:hAnsi="Times New Roman" w:eastAsia="宋体" w:cs="Times New Roman"/>
          <w:bCs/>
          <w:sz w:val="18"/>
          <w:szCs w:val="18"/>
        </w:rPr>
        <w:t>ESI</w:t>
      </w:r>
      <w:r>
        <w:rPr>
          <w:rFonts w:ascii="Times New Roman" w:hAnsi="宋体" w:eastAsia="宋体" w:cs="Times New Roman"/>
          <w:bCs/>
          <w:sz w:val="18"/>
          <w:szCs w:val="18"/>
        </w:rPr>
        <w:t>国际、国内排名及升降幅度（</w:t>
      </w:r>
      <w:r>
        <w:rPr>
          <w:rFonts w:ascii="Times New Roman" w:hAnsi="Times New Roman" w:eastAsia="宋体" w:cs="Times New Roman"/>
          <w:bCs/>
          <w:sz w:val="18"/>
          <w:szCs w:val="18"/>
        </w:rPr>
        <w:t>2021</w:t>
      </w:r>
      <w:r>
        <w:rPr>
          <w:rFonts w:hint="eastAsia" w:ascii="Times New Roman" w:hAnsi="Times New Roman" w:eastAsia="宋体" w:cs="Times New Roman"/>
          <w:bCs/>
          <w:sz w:val="18"/>
          <w:szCs w:val="18"/>
        </w:rPr>
        <w:t>.7-</w:t>
      </w:r>
      <w:r>
        <w:rPr>
          <w:rFonts w:ascii="Times New Roman" w:hAnsi="Times New Roman" w:eastAsia="宋体" w:cs="Times New Roman"/>
          <w:bCs/>
          <w:sz w:val="18"/>
          <w:szCs w:val="18"/>
        </w:rPr>
        <w:t>2023.</w:t>
      </w:r>
      <w:r>
        <w:rPr>
          <w:rFonts w:hint="eastAsia" w:ascii="Times New Roman" w:hAnsi="Times New Roman" w:eastAsia="宋体" w:cs="Times New Roman"/>
          <w:bCs/>
          <w:sz w:val="18"/>
          <w:szCs w:val="18"/>
        </w:rPr>
        <w:t xml:space="preserve"> 7</w:t>
      </w:r>
      <w:r>
        <w:rPr>
          <w:rFonts w:ascii="Times New Roman" w:hAnsi="宋体" w:eastAsia="宋体" w:cs="Times New Roman"/>
          <w:bCs/>
          <w:sz w:val="18"/>
          <w:szCs w:val="18"/>
        </w:rPr>
        <w:t>）</w:t>
      </w:r>
    </w:p>
    <w:tbl>
      <w:tblPr>
        <w:tblStyle w:val="11"/>
        <w:tblW w:w="5000" w:type="pct"/>
        <w:jc w:val="center"/>
        <w:tblLayout w:type="autofit"/>
        <w:tblCellMar>
          <w:top w:w="0" w:type="dxa"/>
          <w:left w:w="108" w:type="dxa"/>
          <w:bottom w:w="0" w:type="dxa"/>
          <w:right w:w="108" w:type="dxa"/>
        </w:tblCellMar>
      </w:tblPr>
      <w:tblGrid>
        <w:gridCol w:w="1244"/>
        <w:gridCol w:w="1537"/>
        <w:gridCol w:w="1749"/>
        <w:gridCol w:w="1641"/>
        <w:gridCol w:w="2351"/>
      </w:tblGrid>
      <w:tr>
        <w:tblPrEx>
          <w:tblCellMar>
            <w:top w:w="0" w:type="dxa"/>
            <w:left w:w="108" w:type="dxa"/>
            <w:bottom w:w="0" w:type="dxa"/>
            <w:right w:w="108" w:type="dxa"/>
          </w:tblCellMar>
        </w:tblPrEx>
        <w:trPr>
          <w:trHeight w:val="270" w:hRule="atLeast"/>
          <w:jc w:val="center"/>
        </w:trPr>
        <w:tc>
          <w:tcPr>
            <w:tcW w:w="730" w:type="pct"/>
            <w:tcBorders>
              <w:top w:val="single" w:color="000000" w:themeColor="text1" w:sz="12" w:space="0"/>
              <w:bottom w:val="single" w:color="000000" w:themeColor="text1" w:sz="12" w:space="0"/>
            </w:tcBorders>
            <w:noWrap/>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时间</w:t>
            </w:r>
          </w:p>
        </w:tc>
        <w:tc>
          <w:tcPr>
            <w:tcW w:w="902" w:type="pct"/>
            <w:tcBorders>
              <w:top w:val="single" w:color="000000" w:themeColor="text1" w:sz="12" w:space="0"/>
              <w:bottom w:val="single" w:color="000000" w:themeColor="text1" w:sz="12" w:space="0"/>
            </w:tcBorders>
            <w:noWrap/>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国</w:t>
            </w:r>
            <w:r>
              <w:rPr>
                <w:rFonts w:hint="eastAsia" w:ascii="Times New Roman" w:hAnsi="Times New Roman" w:eastAsia="宋体" w:cs="Times New Roman"/>
                <w:szCs w:val="21"/>
              </w:rPr>
              <w:t>内</w:t>
            </w:r>
            <w:r>
              <w:rPr>
                <w:rFonts w:ascii="Times New Roman" w:hAnsi="Times New Roman" w:eastAsia="宋体" w:cs="Times New Roman"/>
                <w:szCs w:val="21"/>
              </w:rPr>
              <w:t>排名</w:t>
            </w:r>
          </w:p>
        </w:tc>
        <w:tc>
          <w:tcPr>
            <w:tcW w:w="1026" w:type="pct"/>
            <w:tcBorders>
              <w:top w:val="single" w:color="000000" w:themeColor="text1" w:sz="12" w:space="0"/>
              <w:bottom w:val="single" w:color="000000" w:themeColor="text1" w:sz="12" w:space="0"/>
            </w:tcBorders>
            <w:noWrap/>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升降幅度</w:t>
            </w:r>
          </w:p>
        </w:tc>
        <w:tc>
          <w:tcPr>
            <w:tcW w:w="963" w:type="pct"/>
            <w:tcBorders>
              <w:top w:val="single" w:color="000000" w:themeColor="text1" w:sz="12" w:space="0"/>
              <w:bottom w:val="single" w:color="000000" w:themeColor="text1" w:sz="12" w:space="0"/>
            </w:tcBorders>
            <w:noWrap/>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国</w:t>
            </w:r>
            <w:r>
              <w:rPr>
                <w:rFonts w:hint="eastAsia" w:ascii="Times New Roman" w:hAnsi="Times New Roman" w:eastAsia="宋体" w:cs="Times New Roman"/>
                <w:szCs w:val="21"/>
              </w:rPr>
              <w:t>际</w:t>
            </w:r>
            <w:r>
              <w:rPr>
                <w:rFonts w:ascii="Times New Roman" w:hAnsi="Times New Roman" w:eastAsia="宋体" w:cs="Times New Roman"/>
                <w:szCs w:val="21"/>
              </w:rPr>
              <w:t>排名</w:t>
            </w:r>
          </w:p>
        </w:tc>
        <w:tc>
          <w:tcPr>
            <w:tcW w:w="1379" w:type="pct"/>
            <w:tcBorders>
              <w:top w:val="single" w:color="000000" w:themeColor="text1" w:sz="12" w:space="0"/>
              <w:bottom w:val="single" w:color="000000" w:themeColor="text1" w:sz="12" w:space="0"/>
            </w:tcBorders>
            <w:noWrap/>
            <w:vAlign w:val="center"/>
          </w:tcPr>
          <w:p>
            <w:pPr>
              <w:spacing w:line="360" w:lineRule="auto"/>
              <w:jc w:val="center"/>
              <w:rPr>
                <w:rFonts w:ascii="Times New Roman" w:hAnsi="Times New Roman" w:eastAsia="宋体" w:cs="Times New Roman"/>
                <w:szCs w:val="21"/>
              </w:rPr>
            </w:pPr>
            <w:r>
              <w:rPr>
                <w:rFonts w:ascii="Times New Roman" w:hAnsi="Times New Roman" w:eastAsia="宋体" w:cs="Times New Roman"/>
                <w:szCs w:val="21"/>
              </w:rPr>
              <w:t>升降幅度</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2021.07</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50</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287</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2021.09</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49</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281</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2021.11</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49</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278</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3</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2022.01</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49</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274</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2022.03</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48</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266</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8</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2022.05</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48</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239</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27</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2022.07</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48</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237</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2022.09</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48</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235</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2022.</w:t>
            </w:r>
            <w:r>
              <w:rPr>
                <w:rFonts w:ascii="Times New Roman" w:hAnsi="Times New Roman" w:eastAsia="宋体" w:cs="Times New Roman"/>
                <w:color w:val="000000"/>
                <w:szCs w:val="21"/>
              </w:rPr>
              <w:t>11</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48</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229</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6</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023.01</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w:t>
            </w:r>
            <w:r>
              <w:rPr>
                <w:rFonts w:ascii="Times New Roman" w:hAnsi="Times New Roman" w:eastAsia="宋体" w:cs="Times New Roman"/>
                <w:color w:val="000000"/>
                <w:szCs w:val="21"/>
              </w:rPr>
              <w:t>6</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22</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7↑</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2023.03</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45</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w:t>
            </w:r>
            <w:r>
              <w:rPr>
                <w:rFonts w:ascii="Times New Roman" w:hAnsi="Times New Roman" w:eastAsia="宋体" w:cs="Times New Roman"/>
                <w:color w:val="000000"/>
                <w:szCs w:val="21"/>
              </w:rPr>
              <w:t>↑</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212</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10</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2023.05</w:t>
            </w:r>
          </w:p>
        </w:tc>
        <w:tc>
          <w:tcPr>
            <w:tcW w:w="902"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43</w:t>
            </w:r>
          </w:p>
        </w:tc>
        <w:tc>
          <w:tcPr>
            <w:tcW w:w="1026" w:type="pct"/>
            <w:noWrap/>
            <w:vAlign w:val="center"/>
          </w:tcPr>
          <w:p>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963"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185</w:t>
            </w:r>
          </w:p>
        </w:tc>
        <w:tc>
          <w:tcPr>
            <w:tcW w:w="1379" w:type="pct"/>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27</w:t>
            </w:r>
            <w:r>
              <w:rPr>
                <w:rFonts w:ascii="Times New Roman" w:hAnsi="Times New Roman" w:eastAsia="宋体" w:cs="Times New Roman"/>
                <w:color w:val="000000"/>
                <w:szCs w:val="21"/>
              </w:rPr>
              <w:t>↑</w:t>
            </w:r>
          </w:p>
        </w:tc>
      </w:tr>
      <w:tr>
        <w:tblPrEx>
          <w:tblCellMar>
            <w:top w:w="0" w:type="dxa"/>
            <w:left w:w="108" w:type="dxa"/>
            <w:bottom w:w="0" w:type="dxa"/>
            <w:right w:w="108" w:type="dxa"/>
          </w:tblCellMar>
        </w:tblPrEx>
        <w:trPr>
          <w:trHeight w:val="270" w:hRule="atLeast"/>
          <w:jc w:val="center"/>
        </w:trPr>
        <w:tc>
          <w:tcPr>
            <w:tcW w:w="730" w:type="pct"/>
            <w:tcBorders>
              <w:bottom w:val="single" w:color="000000" w:themeColor="text1" w:sz="12" w:space="0"/>
            </w:tcBorders>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2023.07</w:t>
            </w:r>
          </w:p>
        </w:tc>
        <w:tc>
          <w:tcPr>
            <w:tcW w:w="902" w:type="pct"/>
            <w:tcBorders>
              <w:bottom w:val="single" w:color="000000" w:themeColor="text1" w:sz="12" w:space="0"/>
            </w:tcBorders>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43</w:t>
            </w:r>
          </w:p>
        </w:tc>
        <w:tc>
          <w:tcPr>
            <w:tcW w:w="1026" w:type="pct"/>
            <w:tcBorders>
              <w:bottom w:val="single" w:color="000000" w:themeColor="text1" w:sz="12" w:space="0"/>
            </w:tcBorders>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w:t>
            </w:r>
          </w:p>
        </w:tc>
        <w:tc>
          <w:tcPr>
            <w:tcW w:w="963" w:type="pct"/>
            <w:tcBorders>
              <w:bottom w:val="single" w:color="000000" w:themeColor="text1" w:sz="12" w:space="0"/>
            </w:tcBorders>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183</w:t>
            </w:r>
          </w:p>
        </w:tc>
        <w:tc>
          <w:tcPr>
            <w:tcW w:w="1379" w:type="pct"/>
            <w:tcBorders>
              <w:bottom w:val="single" w:color="000000" w:themeColor="text1" w:sz="12" w:space="0"/>
            </w:tcBorders>
            <w:noWrap/>
            <w:vAlign w:val="center"/>
          </w:tcPr>
          <w:p>
            <w:pPr>
              <w:spacing w:line="360" w:lineRule="auto"/>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rPr>
              <w:t>2</w:t>
            </w:r>
            <w:r>
              <w:rPr>
                <w:rFonts w:ascii="Times New Roman" w:hAnsi="Times New Roman" w:eastAsia="宋体" w:cs="Times New Roman"/>
                <w:color w:val="000000"/>
                <w:szCs w:val="21"/>
              </w:rPr>
              <w:t>↑</w:t>
            </w:r>
          </w:p>
        </w:tc>
      </w:tr>
    </w:tbl>
    <w:p>
      <w:pPr>
        <w:spacing w:line="360" w:lineRule="auto"/>
        <w:ind w:firstLine="424" w:firstLineChars="177"/>
        <w:jc w:val="left"/>
        <w:rPr>
          <w:rFonts w:ascii="Times New Roman" w:hAnsi="Times New Roman" w:eastAsia="宋体"/>
          <w:sz w:val="24"/>
        </w:rPr>
      </w:pPr>
    </w:p>
    <w:p>
      <w:pPr>
        <w:jc w:val="center"/>
        <w:rPr>
          <w:rFonts w:ascii="Times New Roman" w:hAnsi="Times New Roman" w:eastAsia="宋体"/>
        </w:rPr>
      </w:pPr>
    </w:p>
    <w:p>
      <w:pPr>
        <w:rPr>
          <w:rFonts w:ascii="Times New Roman" w:hAnsi="Times New Roman" w:eastAsia="宋体"/>
        </w:rPr>
        <w:sectPr>
          <w:pgSz w:w="11906" w:h="16838"/>
          <w:pgMar w:top="1440" w:right="1800" w:bottom="1440" w:left="1800" w:header="851" w:footer="992" w:gutter="0"/>
          <w:cols w:space="425" w:num="1"/>
          <w:docGrid w:type="lines" w:linePitch="312" w:charSpace="0"/>
        </w:sectPr>
      </w:pPr>
    </w:p>
    <w:p>
      <w:pPr>
        <w:rPr>
          <w:rFonts w:ascii="Times New Roman" w:hAnsi="Times New Roman" w:eastAsia="宋体"/>
        </w:rPr>
      </w:pPr>
      <w:r>
        <w:rPr>
          <w:rFonts w:ascii="Times New Roman" w:hAnsi="Times New Roman" w:eastAsia="宋体"/>
        </w:rPr>
        <w:drawing>
          <wp:inline distT="0" distB="0" distL="0" distR="0">
            <wp:extent cx="8851900" cy="4394200"/>
            <wp:effectExtent l="19050" t="0" r="25305" b="5971"/>
            <wp:docPr id="2"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60" w:lineRule="auto"/>
        <w:jc w:val="center"/>
        <w:rPr>
          <w:rFonts w:ascii="Times New Roman" w:hAnsi="Times New Roman" w:eastAsia="宋体" w:cs="Times New Roman"/>
          <w:bCs/>
          <w:sz w:val="18"/>
          <w:szCs w:val="18"/>
        </w:rPr>
      </w:pPr>
      <w:r>
        <w:rPr>
          <w:rFonts w:hint="eastAsia" w:ascii="Times New Roman" w:hAnsi="宋体" w:eastAsia="宋体" w:cs="Times New Roman"/>
          <w:bCs/>
          <w:sz w:val="18"/>
          <w:szCs w:val="18"/>
        </w:rPr>
        <w:t>图</w:t>
      </w:r>
      <w:r>
        <w:rPr>
          <w:rFonts w:hint="eastAsia" w:ascii="Times New Roman" w:hAnsi="Times New Roman" w:eastAsia="宋体" w:cs="Times New Roman"/>
          <w:bCs/>
          <w:sz w:val="18"/>
          <w:szCs w:val="18"/>
        </w:rPr>
        <w:t xml:space="preserve">2-1  </w:t>
      </w:r>
      <w:r>
        <w:rPr>
          <w:rFonts w:ascii="Times New Roman" w:hAnsi="宋体" w:eastAsia="宋体" w:cs="Times New Roman"/>
          <w:bCs/>
          <w:sz w:val="18"/>
          <w:szCs w:val="18"/>
        </w:rPr>
        <w:t>我校</w:t>
      </w:r>
      <w:r>
        <w:rPr>
          <w:rFonts w:hint="eastAsia" w:ascii="Times New Roman" w:hAnsi="宋体" w:eastAsia="宋体" w:cs="Times New Roman"/>
          <w:bCs/>
          <w:sz w:val="18"/>
          <w:szCs w:val="18"/>
        </w:rPr>
        <w:t>化学学科</w:t>
      </w:r>
      <w:r>
        <w:rPr>
          <w:rFonts w:ascii="Times New Roman" w:hAnsi="Times New Roman" w:eastAsia="宋体" w:cs="Times New Roman"/>
          <w:bCs/>
          <w:sz w:val="18"/>
          <w:szCs w:val="18"/>
        </w:rPr>
        <w:t>ESI</w:t>
      </w:r>
      <w:r>
        <w:rPr>
          <w:rFonts w:ascii="Times New Roman" w:hAnsi="宋体" w:eastAsia="宋体" w:cs="Times New Roman"/>
          <w:bCs/>
          <w:sz w:val="18"/>
          <w:szCs w:val="18"/>
        </w:rPr>
        <w:t>国际、国内排名</w:t>
      </w:r>
      <w:r>
        <w:rPr>
          <w:rFonts w:hint="eastAsia" w:ascii="Times New Roman" w:hAnsi="宋体" w:eastAsia="宋体" w:cs="Times New Roman"/>
          <w:bCs/>
          <w:sz w:val="18"/>
          <w:szCs w:val="18"/>
        </w:rPr>
        <w:t>及变化趋势</w:t>
      </w:r>
      <w:r>
        <w:rPr>
          <w:rFonts w:ascii="Times New Roman" w:hAnsi="宋体" w:eastAsia="宋体" w:cs="Times New Roman"/>
          <w:bCs/>
          <w:sz w:val="18"/>
          <w:szCs w:val="18"/>
        </w:rPr>
        <w:t>（</w:t>
      </w:r>
      <w:r>
        <w:rPr>
          <w:rFonts w:hint="eastAsia" w:ascii="Times New Roman" w:hAnsi="Times New Roman" w:eastAsia="宋体" w:cs="Times New Roman"/>
          <w:bCs/>
          <w:sz w:val="18"/>
          <w:szCs w:val="18"/>
        </w:rPr>
        <w:t>202</w:t>
      </w:r>
      <w:r>
        <w:rPr>
          <w:rFonts w:ascii="Times New Roman" w:hAnsi="Times New Roman" w:eastAsia="宋体" w:cs="Times New Roman"/>
          <w:bCs/>
          <w:sz w:val="18"/>
          <w:szCs w:val="18"/>
        </w:rPr>
        <w:t>1</w:t>
      </w:r>
      <w:r>
        <w:rPr>
          <w:rFonts w:hint="eastAsia" w:ascii="Times New Roman" w:hAnsi="Times New Roman" w:eastAsia="宋体" w:cs="Times New Roman"/>
          <w:bCs/>
          <w:sz w:val="18"/>
          <w:szCs w:val="18"/>
        </w:rPr>
        <w:t>.7</w:t>
      </w:r>
      <w:r>
        <w:rPr>
          <w:rFonts w:ascii="Times New Roman" w:hAnsi="Times New Roman" w:eastAsia="宋体" w:cs="Times New Roman"/>
          <w:bCs/>
          <w:sz w:val="18"/>
          <w:szCs w:val="18"/>
        </w:rPr>
        <w:t>-20</w:t>
      </w:r>
      <w:r>
        <w:rPr>
          <w:rFonts w:hint="eastAsia" w:ascii="Times New Roman" w:hAnsi="Times New Roman" w:eastAsia="宋体" w:cs="Times New Roman"/>
          <w:bCs/>
          <w:sz w:val="18"/>
          <w:szCs w:val="18"/>
        </w:rPr>
        <w:t>2</w:t>
      </w:r>
      <w:r>
        <w:rPr>
          <w:rFonts w:ascii="Times New Roman" w:hAnsi="Times New Roman" w:eastAsia="宋体" w:cs="Times New Roman"/>
          <w:bCs/>
          <w:sz w:val="18"/>
          <w:szCs w:val="18"/>
        </w:rPr>
        <w:t>3</w:t>
      </w:r>
      <w:r>
        <w:rPr>
          <w:rFonts w:hint="eastAsia" w:ascii="Times New Roman" w:hAnsi="Times New Roman" w:eastAsia="宋体" w:cs="Times New Roman"/>
          <w:bCs/>
          <w:sz w:val="18"/>
          <w:szCs w:val="18"/>
        </w:rPr>
        <w:t>.7</w:t>
      </w:r>
      <w:r>
        <w:rPr>
          <w:rFonts w:ascii="Times New Roman" w:hAnsi="宋体" w:eastAsia="宋体" w:cs="Times New Roman"/>
          <w:bCs/>
          <w:sz w:val="18"/>
          <w:szCs w:val="18"/>
        </w:rPr>
        <w:t>）</w:t>
      </w:r>
    </w:p>
    <w:p>
      <w:pPr>
        <w:jc w:val="center"/>
        <w:rPr>
          <w:rFonts w:ascii="Times New Roman" w:hAnsi="Times New Roman" w:eastAsia="宋体"/>
        </w:rPr>
        <w:sectPr>
          <w:pgSz w:w="16838" w:h="11906" w:orient="landscape"/>
          <w:pgMar w:top="1797" w:right="1440" w:bottom="1797" w:left="1440" w:header="851" w:footer="992" w:gutter="0"/>
          <w:cols w:space="425" w:num="1"/>
          <w:docGrid w:type="linesAndChars" w:linePitch="312" w:charSpace="0"/>
        </w:sectPr>
      </w:pPr>
    </w:p>
    <w:p>
      <w:pPr>
        <w:pStyle w:val="3"/>
        <w:numPr>
          <w:ilvl w:val="0"/>
          <w:numId w:val="2"/>
        </w:numPr>
        <w:spacing w:after="0"/>
        <w:jc w:val="left"/>
        <w:rPr>
          <w:rFonts w:ascii="Times New Roman" w:hAnsi="Times New Roman" w:eastAsia="宋体" w:cs="Times New Roman"/>
        </w:rPr>
      </w:pPr>
      <w:bookmarkStart w:id="5" w:name="_Toc24687"/>
      <w:bookmarkStart w:id="6" w:name="_Toc57970765"/>
      <w:r>
        <w:rPr>
          <w:rFonts w:hint="eastAsia" w:ascii="Times New Roman" w:hAnsi="Times New Roman" w:eastAsia="宋体" w:cs="Times New Roman"/>
        </w:rPr>
        <w:t>我校化学学科发文量及被引频次趋势分析</w:t>
      </w:r>
      <w:bookmarkEnd w:id="5"/>
      <w:bookmarkEnd w:id="6"/>
    </w:p>
    <w:p>
      <w:pPr>
        <w:spacing w:after="240" w:line="360" w:lineRule="auto"/>
        <w:ind w:firstLine="426"/>
        <w:rPr>
          <w:rFonts w:ascii="Times New Roman" w:hAnsi="Times New Roman" w:eastAsia="宋体" w:cs="Times New Roman"/>
          <w:sz w:val="24"/>
          <w:szCs w:val="24"/>
        </w:rPr>
      </w:pPr>
      <w:r>
        <w:rPr>
          <w:rFonts w:hint="eastAsia" w:ascii="Times New Roman" w:hAnsi="Times New Roman" w:eastAsia="宋体" w:cs="Times New Roman"/>
          <w:sz w:val="24"/>
          <w:szCs w:val="24"/>
        </w:rPr>
        <w:t>选取本期ESI统计时间段2013-20</w:t>
      </w:r>
      <w:r>
        <w:rPr>
          <w:rFonts w:ascii="Times New Roman" w:hAnsi="Times New Roman" w:eastAsia="宋体" w:cs="Times New Roman"/>
          <w:sz w:val="24"/>
          <w:szCs w:val="24"/>
        </w:rPr>
        <w:t>2</w:t>
      </w:r>
      <w:r>
        <w:rPr>
          <w:rFonts w:hint="eastAsia" w:ascii="Times New Roman" w:hAnsi="Times New Roman" w:eastAsia="宋体" w:cs="Times New Roman"/>
          <w:sz w:val="24"/>
          <w:szCs w:val="24"/>
        </w:rPr>
        <w:t>3为统计年度，通过InCites数据库检索得到“化学”各年度论文数据。我校近年“化学”论文数量和被引频次如图3-1所示。</w:t>
      </w:r>
    </w:p>
    <w:p>
      <w:pPr>
        <w:widowControl/>
        <w:spacing w:after="200" w:line="360" w:lineRule="auto"/>
        <w:ind w:firstLine="426"/>
        <w:rPr>
          <w:rFonts w:ascii="Times New Roman" w:hAnsi="Times New Roman" w:eastAsia="宋体" w:cs="Times New Roman"/>
          <w:kern w:val="0"/>
          <w:sz w:val="24"/>
        </w:rPr>
      </w:pPr>
      <w:r>
        <w:rPr>
          <w:rFonts w:hint="eastAsia" w:ascii="Times New Roman" w:hAnsi="Times New Roman" w:eastAsia="宋体" w:cs="Times New Roman"/>
          <w:kern w:val="0"/>
          <w:sz w:val="24"/>
        </w:rPr>
        <w:t>从图中3-1蓝色曲线可以看出，我校“化学”论文数量从</w:t>
      </w:r>
      <w:r>
        <w:rPr>
          <w:rFonts w:ascii="Times New Roman" w:hAnsi="Times New Roman" w:eastAsia="宋体" w:cs="Times New Roman"/>
          <w:kern w:val="0"/>
          <w:sz w:val="24"/>
        </w:rPr>
        <w:t>201</w:t>
      </w:r>
      <w:r>
        <w:rPr>
          <w:rFonts w:hint="eastAsia" w:ascii="Times New Roman" w:hAnsi="Times New Roman" w:eastAsia="宋体" w:cs="Times New Roman"/>
          <w:kern w:val="0"/>
          <w:sz w:val="24"/>
        </w:rPr>
        <w:t>3年开始呈现大体上升的趋势，由</w:t>
      </w:r>
      <w:r>
        <w:rPr>
          <w:rFonts w:ascii="Times New Roman" w:hAnsi="Times New Roman" w:eastAsia="宋体" w:cs="Times New Roman"/>
          <w:kern w:val="0"/>
          <w:sz w:val="24"/>
        </w:rPr>
        <w:t>201</w:t>
      </w:r>
      <w:r>
        <w:rPr>
          <w:rFonts w:hint="eastAsia" w:ascii="Times New Roman" w:hAnsi="Times New Roman" w:eastAsia="宋体" w:cs="Times New Roman"/>
          <w:kern w:val="0"/>
          <w:sz w:val="24"/>
        </w:rPr>
        <w:t>3年的256篇增长到2021年的863篇；</w:t>
      </w:r>
      <w:r>
        <w:rPr>
          <w:rFonts w:ascii="Times New Roman" w:hAnsi="Times New Roman" w:eastAsia="宋体" w:cs="Times New Roman"/>
          <w:kern w:val="0"/>
          <w:sz w:val="24"/>
        </w:rPr>
        <w:t>2018</w:t>
      </w:r>
      <w:r>
        <w:rPr>
          <w:rFonts w:hint="eastAsia" w:ascii="Times New Roman" w:hAnsi="Times New Roman" w:eastAsia="宋体" w:cs="Times New Roman"/>
          <w:kern w:val="0"/>
          <w:sz w:val="24"/>
        </w:rPr>
        <w:t>年至2022年发文量均超过5</w:t>
      </w:r>
      <w:r>
        <w:rPr>
          <w:rFonts w:ascii="Times New Roman" w:hAnsi="Times New Roman" w:eastAsia="宋体" w:cs="Times New Roman"/>
          <w:kern w:val="0"/>
          <w:sz w:val="24"/>
        </w:rPr>
        <w:t>00</w:t>
      </w:r>
      <w:r>
        <w:rPr>
          <w:rFonts w:hint="eastAsia" w:ascii="Times New Roman" w:hAnsi="Times New Roman" w:eastAsia="宋体" w:cs="Times New Roman"/>
          <w:kern w:val="0"/>
          <w:sz w:val="24"/>
        </w:rPr>
        <w:t>篇。2016至2019年发文量增长幅度较为明显。图中的红色趋势线表示的是我校</w:t>
      </w:r>
      <w:r>
        <w:rPr>
          <w:rFonts w:ascii="Times New Roman" w:hAnsi="Times New Roman" w:eastAsia="宋体" w:cs="Times New Roman"/>
          <w:kern w:val="0"/>
          <w:sz w:val="24"/>
        </w:rPr>
        <w:t>201</w:t>
      </w:r>
      <w:r>
        <w:rPr>
          <w:rFonts w:hint="eastAsia" w:ascii="Times New Roman" w:hAnsi="Times New Roman" w:eastAsia="宋体" w:cs="Times New Roman"/>
          <w:kern w:val="0"/>
          <w:sz w:val="24"/>
        </w:rPr>
        <w:t>3</w:t>
      </w:r>
      <w:r>
        <w:rPr>
          <w:rFonts w:ascii="Times New Roman" w:hAnsi="Times New Roman" w:eastAsia="宋体" w:cs="Times New Roman"/>
          <w:kern w:val="0"/>
          <w:sz w:val="24"/>
        </w:rPr>
        <w:t>-202</w:t>
      </w:r>
      <w:r>
        <w:rPr>
          <w:rFonts w:hint="eastAsia" w:ascii="Times New Roman" w:hAnsi="Times New Roman" w:eastAsia="宋体" w:cs="Times New Roman"/>
          <w:kern w:val="0"/>
          <w:sz w:val="24"/>
        </w:rPr>
        <w:t>3年历年发表的“化学”论文的被引频次。除</w:t>
      </w:r>
      <w:r>
        <w:rPr>
          <w:rFonts w:ascii="Times New Roman" w:hAnsi="Times New Roman" w:eastAsia="宋体" w:cs="Times New Roman"/>
          <w:kern w:val="0"/>
          <w:sz w:val="24"/>
        </w:rPr>
        <w:t>202</w:t>
      </w:r>
      <w:r>
        <w:rPr>
          <w:rFonts w:hint="eastAsia" w:ascii="Times New Roman" w:hAnsi="Times New Roman" w:eastAsia="宋体" w:cs="Times New Roman"/>
          <w:kern w:val="0"/>
          <w:sz w:val="24"/>
        </w:rPr>
        <w:t>3年外，</w:t>
      </w:r>
      <w:r>
        <w:rPr>
          <w:rFonts w:ascii="Times New Roman" w:hAnsi="Times New Roman" w:eastAsia="宋体" w:cs="Times New Roman"/>
          <w:kern w:val="0"/>
          <w:sz w:val="24"/>
        </w:rPr>
        <w:t>20</w:t>
      </w:r>
      <w:r>
        <w:rPr>
          <w:rFonts w:hint="eastAsia" w:ascii="Times New Roman" w:hAnsi="Times New Roman" w:eastAsia="宋体" w:cs="Times New Roman"/>
          <w:kern w:val="0"/>
          <w:sz w:val="24"/>
        </w:rPr>
        <w:t>22年发表论文的被引频次为统计范围内的最低值。</w:t>
      </w:r>
      <w:r>
        <w:rPr>
          <w:rFonts w:ascii="Times New Roman" w:hAnsi="Times New Roman" w:eastAsia="宋体" w:cs="Times New Roman"/>
          <w:kern w:val="0"/>
          <w:sz w:val="24"/>
        </w:rPr>
        <w:t>20</w:t>
      </w:r>
      <w:r>
        <w:rPr>
          <w:rFonts w:hint="eastAsia" w:ascii="Times New Roman" w:hAnsi="Times New Roman" w:eastAsia="宋体" w:cs="Times New Roman"/>
          <w:kern w:val="0"/>
          <w:sz w:val="24"/>
        </w:rPr>
        <w:t>17年开始，伴随着我校“化学”论文数量急剧增加，被引频次随之增加，直至</w:t>
      </w:r>
      <w:r>
        <w:rPr>
          <w:rFonts w:ascii="Times New Roman" w:hAnsi="Times New Roman" w:eastAsia="宋体" w:cs="Times New Roman"/>
          <w:kern w:val="0"/>
          <w:sz w:val="24"/>
        </w:rPr>
        <w:t>201</w:t>
      </w:r>
      <w:r>
        <w:rPr>
          <w:rFonts w:hint="eastAsia" w:ascii="Times New Roman" w:hAnsi="Times New Roman" w:eastAsia="宋体" w:cs="Times New Roman"/>
          <w:kern w:val="0"/>
          <w:sz w:val="24"/>
        </w:rPr>
        <w:t>9年达到一个近十一年引用次数巅峰19622次。总体来说，我校</w:t>
      </w:r>
      <w:r>
        <w:rPr>
          <w:rFonts w:ascii="Times New Roman" w:hAnsi="Times New Roman" w:eastAsia="宋体" w:cs="Times New Roman"/>
          <w:kern w:val="0"/>
          <w:sz w:val="24"/>
        </w:rPr>
        <w:t>ESI</w:t>
      </w:r>
      <w:r>
        <w:rPr>
          <w:rFonts w:hint="eastAsia" w:ascii="Times New Roman" w:hAnsi="Times New Roman" w:eastAsia="宋体" w:cs="Times New Roman"/>
          <w:kern w:val="0"/>
          <w:sz w:val="24"/>
        </w:rPr>
        <w:t>“化学”学科的发文量和被引频次均有一定优势，但需要保持较高增长率论文总量和总被引频次亟待提高。</w:t>
      </w:r>
    </w:p>
    <w:p>
      <w:pPr>
        <w:widowControl/>
        <w:spacing w:after="200" w:line="360" w:lineRule="auto"/>
        <w:ind w:firstLine="426"/>
        <w:jc w:val="center"/>
        <w:rPr>
          <w:rFonts w:ascii="Times New Roman" w:hAnsi="Times New Roman" w:eastAsia="宋体" w:cs="Times New Roman"/>
          <w:kern w:val="0"/>
          <w:sz w:val="24"/>
        </w:rPr>
      </w:pPr>
      <w:r>
        <w:rPr>
          <w:rFonts w:ascii="Times New Roman" w:hAnsi="Times New Roman" w:eastAsia="宋体" w:cs="Times New Roman"/>
          <w:kern w:val="0"/>
          <w:sz w:val="24"/>
        </w:rPr>
        <w:drawing>
          <wp:inline distT="0" distB="0" distL="0" distR="0">
            <wp:extent cx="5076825" cy="3242945"/>
            <wp:effectExtent l="19050" t="0" r="9525"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360" w:lineRule="auto"/>
        <w:jc w:val="center"/>
        <w:rPr>
          <w:rFonts w:ascii="Times New Roman" w:hAnsi="Times New Roman" w:eastAsia="宋体" w:cs="Times New Roman"/>
          <w:bCs/>
          <w:sz w:val="18"/>
          <w:szCs w:val="18"/>
        </w:rPr>
      </w:pPr>
      <w:r>
        <w:rPr>
          <w:rFonts w:hint="eastAsia" w:ascii="Times New Roman" w:hAnsi="宋体" w:eastAsia="宋体" w:cs="Times New Roman"/>
          <w:bCs/>
          <w:sz w:val="18"/>
          <w:szCs w:val="18"/>
        </w:rPr>
        <w:t>图</w:t>
      </w:r>
      <w:r>
        <w:rPr>
          <w:rFonts w:hint="eastAsia" w:ascii="Times New Roman" w:hAnsi="Times New Roman" w:eastAsia="宋体" w:cs="Times New Roman"/>
          <w:bCs/>
          <w:sz w:val="18"/>
          <w:szCs w:val="18"/>
        </w:rPr>
        <w:t xml:space="preserve">3-1 </w:t>
      </w:r>
      <w:r>
        <w:rPr>
          <w:rFonts w:hint="eastAsia" w:ascii="Times New Roman" w:hAnsi="宋体" w:eastAsia="宋体" w:cs="Times New Roman"/>
          <w:bCs/>
          <w:sz w:val="18"/>
          <w:szCs w:val="18"/>
        </w:rPr>
        <w:t>我校化学发文量及被引频次趋势（</w:t>
      </w:r>
      <w:r>
        <w:rPr>
          <w:rFonts w:hint="eastAsia" w:ascii="Times New Roman" w:hAnsi="Times New Roman" w:eastAsia="宋体" w:cs="Times New Roman"/>
          <w:bCs/>
          <w:sz w:val="18"/>
          <w:szCs w:val="18"/>
        </w:rPr>
        <w:t>2013-2023</w:t>
      </w:r>
      <w:r>
        <w:rPr>
          <w:rFonts w:hint="eastAsia" w:ascii="Times New Roman" w:hAnsi="宋体" w:eastAsia="宋体" w:cs="Times New Roman"/>
          <w:bCs/>
          <w:sz w:val="18"/>
          <w:szCs w:val="18"/>
        </w:rPr>
        <w:t>）</w:t>
      </w:r>
    </w:p>
    <w:p>
      <w:pPr>
        <w:spacing w:line="360" w:lineRule="auto"/>
        <w:rPr>
          <w:rFonts w:ascii="Times New Roman" w:hAnsi="Times New Roman" w:eastAsia="宋体" w:cs="Times New Roman"/>
          <w:color w:val="000000"/>
          <w:sz w:val="18"/>
          <w:szCs w:val="21"/>
        </w:rPr>
      </w:pPr>
      <w:r>
        <w:rPr>
          <w:rFonts w:hint="eastAsia" w:ascii="Times New Roman" w:hAnsi="Times New Roman" w:eastAsia="宋体" w:cs="Times New Roman"/>
          <w:color w:val="000000"/>
          <w:sz w:val="18"/>
          <w:szCs w:val="21"/>
        </w:rPr>
        <w:t>注:分年度论文数和被引频次由Incites数据库检索得到，与ESI数据库的数据有出入，InCites 数据集更新日期  2023-06-30. 包含 Web of Science 标引内容截止 2023-05-31.</w:t>
      </w:r>
    </w:p>
    <w:p>
      <w:pPr>
        <w:pStyle w:val="3"/>
        <w:numPr>
          <w:ilvl w:val="0"/>
          <w:numId w:val="2"/>
        </w:numPr>
        <w:spacing w:after="0"/>
        <w:jc w:val="left"/>
        <w:rPr>
          <w:rFonts w:ascii="Times New Roman" w:hAnsi="Times New Roman" w:eastAsia="宋体" w:cs="Times New Roman"/>
        </w:rPr>
      </w:pPr>
      <w:r>
        <w:rPr>
          <w:rFonts w:hint="eastAsia" w:ascii="Times New Roman" w:hAnsi="Times New Roman" w:eastAsia="宋体" w:cs="Times New Roman"/>
        </w:rPr>
        <w:t>山东省省属高校ESI化学国际、国内排名及变化情况</w:t>
      </w:r>
    </w:p>
    <w:p>
      <w:pPr>
        <w:spacing w:after="240" w:line="360" w:lineRule="auto"/>
        <w:ind w:firstLine="567"/>
        <w:rPr>
          <w:rFonts w:ascii="Times New Roman" w:hAnsi="Times New Roman" w:eastAsia="宋体" w:cs="Times New Roman"/>
          <w:sz w:val="24"/>
          <w:szCs w:val="24"/>
        </w:rPr>
      </w:pPr>
      <w:r>
        <w:rPr>
          <w:rFonts w:hint="eastAsia" w:ascii="Times New Roman" w:hAnsi="宋体" w:eastAsia="宋体" w:cs="Times New Roman"/>
          <w:sz w:val="24"/>
          <w:szCs w:val="24"/>
        </w:rPr>
        <w:t>为了比较青岛科技</w:t>
      </w:r>
      <w:r>
        <w:rPr>
          <w:rFonts w:ascii="Times New Roman" w:hAnsi="宋体" w:eastAsia="宋体" w:cs="Times New Roman"/>
          <w:sz w:val="24"/>
          <w:szCs w:val="24"/>
        </w:rPr>
        <w:t>大学</w:t>
      </w:r>
      <w:r>
        <w:rPr>
          <w:rFonts w:hint="eastAsia" w:ascii="Times New Roman" w:hAnsi="宋体" w:eastAsia="宋体" w:cs="Times New Roman"/>
          <w:sz w:val="24"/>
          <w:szCs w:val="24"/>
        </w:rPr>
        <w:t>和山东省省属高校</w:t>
      </w:r>
      <w:r>
        <w:rPr>
          <w:rFonts w:hint="eastAsia" w:ascii="Times New Roman" w:hAnsi="Times New Roman" w:eastAsia="宋体" w:cs="Times New Roman"/>
          <w:sz w:val="24"/>
          <w:szCs w:val="24"/>
        </w:rPr>
        <w:t>ESI</w:t>
      </w:r>
      <w:r>
        <w:rPr>
          <w:rFonts w:hint="eastAsia" w:ascii="Times New Roman" w:hAnsi="宋体" w:eastAsia="宋体" w:cs="Times New Roman"/>
          <w:sz w:val="24"/>
          <w:szCs w:val="24"/>
        </w:rPr>
        <w:t>化学学</w:t>
      </w:r>
      <w:r>
        <w:rPr>
          <w:rFonts w:ascii="Times New Roman" w:hAnsi="宋体" w:eastAsia="宋体" w:cs="Times New Roman"/>
          <w:sz w:val="24"/>
          <w:szCs w:val="24"/>
        </w:rPr>
        <w:t>科</w:t>
      </w:r>
      <w:r>
        <w:rPr>
          <w:rFonts w:hint="eastAsia" w:ascii="Times New Roman" w:hAnsi="宋体" w:eastAsia="宋体" w:cs="Times New Roman"/>
          <w:sz w:val="24"/>
          <w:szCs w:val="24"/>
        </w:rPr>
        <w:t>的</w:t>
      </w:r>
      <w:r>
        <w:rPr>
          <w:rFonts w:ascii="Times New Roman" w:hAnsi="宋体" w:eastAsia="宋体" w:cs="Times New Roman"/>
          <w:sz w:val="24"/>
          <w:szCs w:val="24"/>
        </w:rPr>
        <w:t>排名变动情况</w:t>
      </w:r>
      <w:r>
        <w:rPr>
          <w:rFonts w:hint="eastAsia" w:ascii="Times New Roman" w:hAnsi="宋体" w:eastAsia="宋体" w:cs="Times New Roman"/>
          <w:sz w:val="24"/>
          <w:szCs w:val="24"/>
        </w:rPr>
        <w:t>，我们选取</w:t>
      </w:r>
      <w:r>
        <w:rPr>
          <w:rFonts w:ascii="Times New Roman" w:hAnsi="宋体" w:eastAsia="宋体" w:cs="Times New Roman"/>
          <w:sz w:val="24"/>
          <w:szCs w:val="24"/>
        </w:rPr>
        <w:t>进入</w:t>
      </w:r>
      <w:r>
        <w:rPr>
          <w:rFonts w:ascii="Times New Roman" w:hAnsi="Times New Roman" w:eastAsia="宋体" w:cs="Times New Roman"/>
          <w:sz w:val="24"/>
          <w:szCs w:val="24"/>
        </w:rPr>
        <w:t>ESI</w:t>
      </w:r>
      <w:r>
        <w:rPr>
          <w:rFonts w:hint="eastAsia" w:ascii="Times New Roman" w:hAnsi="宋体" w:eastAsia="宋体" w:cs="Times New Roman"/>
          <w:sz w:val="24"/>
          <w:szCs w:val="24"/>
        </w:rPr>
        <w:t>化学的山东省省属</w:t>
      </w:r>
      <w:r>
        <w:rPr>
          <w:rFonts w:ascii="Times New Roman" w:hAnsi="宋体" w:eastAsia="宋体" w:cs="Times New Roman"/>
          <w:sz w:val="24"/>
          <w:szCs w:val="24"/>
        </w:rPr>
        <w:t>高校进行对比分析，</w:t>
      </w:r>
      <w:r>
        <w:rPr>
          <w:rFonts w:hint="eastAsia" w:ascii="Times New Roman" w:hAnsi="宋体" w:eastAsia="宋体" w:cs="Times New Roman"/>
          <w:sz w:val="24"/>
          <w:szCs w:val="24"/>
        </w:rPr>
        <w:t>国际、</w:t>
      </w:r>
      <w:r>
        <w:rPr>
          <w:rFonts w:ascii="Times New Roman" w:hAnsi="宋体" w:eastAsia="宋体" w:cs="Times New Roman"/>
          <w:sz w:val="24"/>
          <w:szCs w:val="24"/>
        </w:rPr>
        <w:t>国内排名具体数据</w:t>
      </w:r>
      <w:r>
        <w:rPr>
          <w:rFonts w:hint="eastAsia" w:ascii="Times New Roman" w:hAnsi="宋体" w:eastAsia="宋体" w:cs="Times New Roman"/>
          <w:sz w:val="24"/>
          <w:szCs w:val="24"/>
        </w:rPr>
        <w:t>及</w:t>
      </w:r>
      <w:r>
        <w:rPr>
          <w:rFonts w:ascii="Times New Roman" w:hAnsi="宋体" w:eastAsia="宋体" w:cs="Times New Roman"/>
          <w:sz w:val="24"/>
          <w:szCs w:val="24"/>
        </w:rPr>
        <w:t>变动趋势见</w:t>
      </w:r>
      <w:r>
        <w:rPr>
          <w:rFonts w:hint="eastAsia" w:ascii="Times New Roman" w:hAnsi="宋体" w:eastAsia="宋体" w:cs="Times New Roman"/>
          <w:sz w:val="24"/>
          <w:szCs w:val="24"/>
        </w:rPr>
        <w:t>图</w:t>
      </w:r>
      <w:r>
        <w:rPr>
          <w:rFonts w:hint="eastAsia" w:ascii="Times New Roman" w:hAnsi="Times New Roman" w:eastAsia="宋体" w:cs="Times New Roman"/>
          <w:sz w:val="24"/>
          <w:szCs w:val="24"/>
        </w:rPr>
        <w:t>4-1</w:t>
      </w:r>
      <w:r>
        <w:rPr>
          <w:rFonts w:hint="eastAsia" w:ascii="Times New Roman" w:hAnsi="宋体" w:eastAsia="宋体" w:cs="Times New Roman"/>
          <w:sz w:val="24"/>
          <w:szCs w:val="24"/>
        </w:rPr>
        <w:t>和</w:t>
      </w:r>
      <w:r>
        <w:rPr>
          <w:rFonts w:ascii="Times New Roman" w:hAnsi="宋体" w:eastAsia="宋体" w:cs="Times New Roman"/>
          <w:sz w:val="24"/>
          <w:szCs w:val="24"/>
        </w:rPr>
        <w:t>图</w:t>
      </w:r>
      <w:r>
        <w:rPr>
          <w:rFonts w:hint="eastAsia" w:ascii="Times New Roman" w:hAnsi="Times New Roman" w:eastAsia="宋体" w:cs="Times New Roman"/>
          <w:sz w:val="24"/>
          <w:szCs w:val="24"/>
        </w:rPr>
        <w:t>4-2</w:t>
      </w:r>
      <w:r>
        <w:rPr>
          <w:rFonts w:ascii="Times New Roman" w:hAnsi="宋体" w:eastAsia="宋体" w:cs="Times New Roman"/>
          <w:sz w:val="24"/>
          <w:szCs w:val="24"/>
        </w:rPr>
        <w:t>。</w:t>
      </w:r>
      <w:r>
        <w:rPr>
          <w:rFonts w:hint="eastAsia" w:ascii="Times New Roman" w:hAnsi="宋体" w:eastAsia="宋体" w:cs="Times New Roman"/>
          <w:sz w:val="24"/>
          <w:szCs w:val="24"/>
        </w:rPr>
        <w:t>国际排名数据显示，除了山东第一医科大学外，</w:t>
      </w:r>
      <w:r>
        <w:rPr>
          <w:rFonts w:ascii="Times New Roman" w:hAnsi="宋体" w:eastAsia="宋体" w:cs="Times New Roman"/>
          <w:sz w:val="24"/>
          <w:szCs w:val="24"/>
        </w:rPr>
        <w:t>其他</w:t>
      </w:r>
      <w:r>
        <w:rPr>
          <w:rFonts w:hint="eastAsia" w:ascii="Times New Roman" w:hAnsi="Times New Roman" w:eastAsia="宋体" w:cs="Times New Roman"/>
          <w:sz w:val="24"/>
          <w:szCs w:val="24"/>
        </w:rPr>
        <w:t>13</w:t>
      </w:r>
      <w:r>
        <w:rPr>
          <w:rFonts w:hint="eastAsia" w:ascii="Times New Roman" w:hAnsi="宋体" w:eastAsia="宋体" w:cs="Times New Roman"/>
          <w:sz w:val="24"/>
          <w:szCs w:val="24"/>
        </w:rPr>
        <w:t>所高校的</w:t>
      </w:r>
      <w:r>
        <w:rPr>
          <w:rFonts w:hint="eastAsia" w:ascii="Times New Roman" w:hAnsi="Times New Roman" w:eastAsia="宋体" w:cs="Times New Roman"/>
          <w:sz w:val="24"/>
          <w:szCs w:val="24"/>
        </w:rPr>
        <w:t>ESI</w:t>
      </w:r>
      <w:r>
        <w:rPr>
          <w:rFonts w:hint="eastAsia" w:ascii="Times New Roman" w:hAnsi="宋体" w:eastAsia="宋体" w:cs="Times New Roman"/>
          <w:sz w:val="24"/>
          <w:szCs w:val="24"/>
        </w:rPr>
        <w:t>化</w:t>
      </w:r>
      <w:r>
        <w:rPr>
          <w:rFonts w:ascii="Times New Roman" w:hAnsi="宋体" w:eastAsia="宋体" w:cs="Times New Roman"/>
          <w:sz w:val="24"/>
          <w:szCs w:val="24"/>
        </w:rPr>
        <w:t>学国际排名均呈现上升趋势，</w:t>
      </w:r>
      <w:r>
        <w:rPr>
          <w:rFonts w:ascii="Times New Roman" w:hAnsi="宋体" w:eastAsia="宋体" w:cs="Times New Roman"/>
          <w:b/>
          <w:sz w:val="24"/>
          <w:szCs w:val="24"/>
        </w:rPr>
        <w:t>山东科技大学</w:t>
      </w:r>
      <w:r>
        <w:rPr>
          <w:rFonts w:hint="eastAsia" w:ascii="Times New Roman" w:hAnsi="宋体" w:eastAsia="宋体" w:cs="Times New Roman"/>
          <w:b/>
          <w:sz w:val="24"/>
          <w:szCs w:val="24"/>
        </w:rPr>
        <w:t>、齐鲁工业大学、青岛农业大学和临沂大学</w:t>
      </w:r>
      <w:r>
        <w:rPr>
          <w:rFonts w:ascii="Times New Roman" w:hAnsi="宋体" w:eastAsia="宋体" w:cs="Times New Roman"/>
          <w:b/>
          <w:sz w:val="24"/>
          <w:szCs w:val="24"/>
        </w:rPr>
        <w:t>的国际排名上升幅度最为显著</w:t>
      </w:r>
      <w:r>
        <w:rPr>
          <w:rFonts w:ascii="Times New Roman" w:hAnsi="宋体" w:eastAsia="宋体" w:cs="Times New Roman"/>
          <w:sz w:val="24"/>
          <w:szCs w:val="24"/>
        </w:rPr>
        <w:t>。</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2</w:t>
      </w:r>
      <w:r>
        <w:rPr>
          <w:rFonts w:ascii="Times New Roman" w:hAnsi="Times New Roman" w:eastAsia="宋体" w:cs="Times New Roman"/>
          <w:sz w:val="24"/>
          <w:szCs w:val="24"/>
        </w:rPr>
        <w:t>2</w:t>
      </w:r>
      <w:r>
        <w:rPr>
          <w:rFonts w:ascii="Times New Roman" w:hAnsi="宋体" w:eastAsia="宋体" w:cs="Times New Roman"/>
          <w:sz w:val="24"/>
          <w:szCs w:val="24"/>
        </w:rPr>
        <w:t>年</w:t>
      </w:r>
      <w:r>
        <w:rPr>
          <w:rFonts w:hint="eastAsia" w:ascii="Times New Roman" w:hAnsi="Times New Roman" w:eastAsia="宋体" w:cs="Times New Roman"/>
          <w:sz w:val="24"/>
          <w:szCs w:val="24"/>
        </w:rPr>
        <w:t>9</w:t>
      </w:r>
      <w:r>
        <w:rPr>
          <w:rFonts w:hint="eastAsia" w:ascii="Times New Roman" w:hAnsi="宋体" w:eastAsia="宋体" w:cs="Times New Roman"/>
          <w:sz w:val="24"/>
          <w:szCs w:val="24"/>
        </w:rPr>
        <w:t>月至</w:t>
      </w:r>
      <w:r>
        <w:rPr>
          <w:rFonts w:hint="eastAsia" w:ascii="Times New Roman" w:hAnsi="Times New Roman" w:eastAsia="宋体" w:cs="Times New Roman"/>
          <w:sz w:val="24"/>
          <w:szCs w:val="24"/>
        </w:rPr>
        <w:t>202</w:t>
      </w:r>
      <w:r>
        <w:rPr>
          <w:rFonts w:ascii="Times New Roman" w:hAnsi="Times New Roman" w:eastAsia="宋体" w:cs="Times New Roman"/>
          <w:sz w:val="24"/>
          <w:szCs w:val="24"/>
        </w:rPr>
        <w:t>3</w:t>
      </w:r>
      <w:r>
        <w:rPr>
          <w:rFonts w:hint="eastAsia" w:ascii="Times New Roman" w:hAnsi="宋体" w:eastAsia="宋体" w:cs="Times New Roman"/>
          <w:sz w:val="24"/>
          <w:szCs w:val="24"/>
        </w:rPr>
        <w:t>年</w:t>
      </w:r>
      <w:r>
        <w:rPr>
          <w:rFonts w:hint="eastAsia" w:ascii="Times New Roman" w:hAnsi="Times New Roman" w:eastAsia="宋体" w:cs="Times New Roman"/>
          <w:sz w:val="24"/>
          <w:szCs w:val="24"/>
        </w:rPr>
        <w:t>7</w:t>
      </w:r>
      <w:r>
        <w:rPr>
          <w:rFonts w:hint="eastAsia" w:ascii="Times New Roman" w:hAnsi="宋体" w:eastAsia="宋体" w:cs="Times New Roman"/>
          <w:sz w:val="24"/>
          <w:szCs w:val="24"/>
        </w:rPr>
        <w:t>月，</w:t>
      </w:r>
      <w:r>
        <w:rPr>
          <w:rFonts w:ascii="Times New Roman" w:hAnsi="宋体" w:eastAsia="宋体" w:cs="Times New Roman"/>
          <w:sz w:val="24"/>
          <w:szCs w:val="24"/>
        </w:rPr>
        <w:t>我校</w:t>
      </w:r>
      <w:r>
        <w:rPr>
          <w:rFonts w:hint="eastAsia" w:ascii="Times New Roman" w:hAnsi="Times New Roman" w:eastAsia="宋体" w:cs="Times New Roman"/>
          <w:sz w:val="24"/>
          <w:szCs w:val="24"/>
        </w:rPr>
        <w:t>ESI</w:t>
      </w:r>
      <w:r>
        <w:rPr>
          <w:rFonts w:hint="eastAsia" w:ascii="Times New Roman" w:hAnsi="宋体" w:eastAsia="宋体" w:cs="Times New Roman"/>
          <w:sz w:val="24"/>
          <w:szCs w:val="24"/>
        </w:rPr>
        <w:t>化学国际排名</w:t>
      </w:r>
      <w:r>
        <w:rPr>
          <w:rFonts w:ascii="Times New Roman" w:hAnsi="宋体" w:eastAsia="宋体" w:cs="Times New Roman"/>
          <w:sz w:val="24"/>
          <w:szCs w:val="24"/>
        </w:rPr>
        <w:t>在省属高校中</w:t>
      </w:r>
      <w:r>
        <w:rPr>
          <w:rFonts w:hint="eastAsia" w:ascii="Times New Roman" w:hAnsi="宋体" w:eastAsia="宋体" w:cs="Times New Roman"/>
          <w:sz w:val="24"/>
          <w:szCs w:val="24"/>
        </w:rPr>
        <w:t>位列第</w:t>
      </w:r>
      <w:r>
        <w:rPr>
          <w:rFonts w:hint="eastAsia" w:ascii="Times New Roman" w:hAnsi="Times New Roman" w:eastAsia="宋体" w:cs="Times New Roman"/>
          <w:sz w:val="24"/>
          <w:szCs w:val="24"/>
        </w:rPr>
        <w:t>1</w:t>
      </w:r>
      <w:r>
        <w:rPr>
          <w:rFonts w:ascii="Times New Roman" w:hAnsi="宋体" w:eastAsia="宋体" w:cs="Times New Roman"/>
          <w:sz w:val="24"/>
          <w:szCs w:val="24"/>
        </w:rPr>
        <w:t>，</w:t>
      </w:r>
      <w:r>
        <w:rPr>
          <w:rFonts w:hint="eastAsia" w:ascii="Times New Roman" w:hAnsi="宋体" w:eastAsia="宋体" w:cs="Times New Roman"/>
          <w:sz w:val="24"/>
          <w:szCs w:val="24"/>
        </w:rPr>
        <w:t>排名第二的</w:t>
      </w:r>
      <w:r>
        <w:rPr>
          <w:rFonts w:hint="eastAsia" w:ascii="Times New Roman" w:hAnsi="宋体" w:eastAsia="宋体" w:cs="Times New Roman"/>
          <w:b/>
          <w:sz w:val="24"/>
          <w:szCs w:val="24"/>
        </w:rPr>
        <w:t>济南大学与我校有较小差距</w:t>
      </w:r>
      <w:r>
        <w:rPr>
          <w:rFonts w:ascii="Times New Roman" w:hAnsi="宋体" w:eastAsia="宋体" w:cs="Times New Roman"/>
          <w:sz w:val="24"/>
          <w:szCs w:val="24"/>
        </w:rPr>
        <w:t>。</w:t>
      </w:r>
    </w:p>
    <w:p>
      <w:pPr>
        <w:spacing w:after="240" w:line="360" w:lineRule="auto"/>
        <w:ind w:firstLine="567"/>
        <w:rPr>
          <w:rFonts w:ascii="Times New Roman" w:hAnsi="Times New Roman" w:eastAsia="宋体" w:cs="Times New Roman"/>
          <w:sz w:val="24"/>
          <w:szCs w:val="24"/>
        </w:rPr>
      </w:pPr>
      <w:r>
        <w:rPr>
          <w:rFonts w:hint="eastAsia" w:ascii="Times New Roman" w:hAnsi="宋体" w:eastAsia="宋体" w:cs="Times New Roman"/>
          <w:sz w:val="24"/>
          <w:szCs w:val="24"/>
        </w:rPr>
        <w:t>国内排名数据显示，</w:t>
      </w:r>
      <w:r>
        <w:rPr>
          <w:rFonts w:hint="eastAsia" w:ascii="Times New Roman" w:hAnsi="Times New Roman" w:eastAsia="宋体" w:cs="Times New Roman"/>
          <w:sz w:val="24"/>
          <w:szCs w:val="24"/>
        </w:rPr>
        <w:t>202</w:t>
      </w:r>
      <w:r>
        <w:rPr>
          <w:rFonts w:ascii="Times New Roman" w:hAnsi="Times New Roman" w:eastAsia="宋体" w:cs="Times New Roman"/>
          <w:sz w:val="24"/>
          <w:szCs w:val="24"/>
        </w:rPr>
        <w:t>2</w:t>
      </w:r>
      <w:r>
        <w:rPr>
          <w:rFonts w:hint="eastAsia" w:ascii="Times New Roman" w:hAnsi="宋体" w:eastAsia="宋体" w:cs="Times New Roman"/>
          <w:sz w:val="24"/>
          <w:szCs w:val="24"/>
        </w:rPr>
        <w:t>年</w:t>
      </w:r>
      <w:r>
        <w:rPr>
          <w:rFonts w:hint="eastAsia" w:ascii="Times New Roman" w:hAnsi="Times New Roman" w:eastAsia="宋体" w:cs="Times New Roman"/>
          <w:sz w:val="24"/>
          <w:szCs w:val="24"/>
        </w:rPr>
        <w:t>9</w:t>
      </w:r>
      <w:r>
        <w:rPr>
          <w:rFonts w:hint="eastAsia" w:ascii="Times New Roman" w:hAnsi="宋体" w:eastAsia="宋体" w:cs="Times New Roman"/>
          <w:sz w:val="24"/>
          <w:szCs w:val="24"/>
        </w:rPr>
        <w:t>月</w:t>
      </w:r>
      <w:r>
        <w:rPr>
          <w:rFonts w:ascii="Times New Roman" w:hAnsi="宋体" w:eastAsia="宋体" w:cs="Times New Roman"/>
          <w:sz w:val="24"/>
          <w:szCs w:val="24"/>
        </w:rPr>
        <w:t>我校</w:t>
      </w:r>
      <w:r>
        <w:rPr>
          <w:rFonts w:hint="eastAsia" w:ascii="Times New Roman" w:hAnsi="宋体" w:eastAsia="宋体" w:cs="Times New Roman"/>
          <w:sz w:val="24"/>
          <w:szCs w:val="24"/>
        </w:rPr>
        <w:t>化学</w:t>
      </w:r>
      <w:r>
        <w:rPr>
          <w:rFonts w:ascii="Times New Roman" w:hAnsi="宋体" w:eastAsia="宋体" w:cs="Times New Roman"/>
          <w:sz w:val="24"/>
          <w:szCs w:val="24"/>
        </w:rPr>
        <w:t>学科的排名</w:t>
      </w:r>
      <w:r>
        <w:rPr>
          <w:rFonts w:hint="eastAsia" w:ascii="Times New Roman" w:hAnsi="宋体" w:eastAsia="宋体" w:cs="Times New Roman"/>
          <w:sz w:val="24"/>
          <w:szCs w:val="24"/>
        </w:rPr>
        <w:t>为</w:t>
      </w:r>
      <w:r>
        <w:rPr>
          <w:rFonts w:hint="eastAsia" w:ascii="Times New Roman" w:hAnsi="Times New Roman" w:eastAsia="宋体" w:cs="Times New Roman"/>
          <w:sz w:val="24"/>
          <w:szCs w:val="24"/>
        </w:rPr>
        <w:t>4</w:t>
      </w:r>
      <w:r>
        <w:rPr>
          <w:rFonts w:ascii="Times New Roman" w:hAnsi="Times New Roman" w:eastAsia="宋体" w:cs="Times New Roman"/>
          <w:sz w:val="24"/>
          <w:szCs w:val="24"/>
        </w:rPr>
        <w:t>8</w:t>
      </w:r>
      <w:r>
        <w:rPr>
          <w:rFonts w:hint="eastAsia" w:ascii="Times New Roman" w:hAnsi="宋体" w:eastAsia="宋体" w:cs="Times New Roman"/>
          <w:sz w:val="24"/>
          <w:szCs w:val="24"/>
        </w:rPr>
        <w:t>位</w:t>
      </w:r>
      <w:r>
        <w:rPr>
          <w:rFonts w:hint="eastAsia" w:ascii="Times New Roman" w:hAnsi="Times New Roman" w:eastAsia="宋体" w:cs="Times New Roman"/>
          <w:sz w:val="24"/>
          <w:szCs w:val="24"/>
        </w:rPr>
        <w:t>，202</w:t>
      </w:r>
      <w:r>
        <w:rPr>
          <w:rFonts w:ascii="Times New Roman" w:hAnsi="Times New Roman" w:eastAsia="宋体" w:cs="Times New Roman"/>
          <w:sz w:val="24"/>
          <w:szCs w:val="24"/>
        </w:rPr>
        <w:t>3</w:t>
      </w:r>
      <w:r>
        <w:rPr>
          <w:rFonts w:hint="eastAsia" w:ascii="Times New Roman" w:hAnsi="宋体" w:eastAsia="宋体" w:cs="Times New Roman"/>
          <w:sz w:val="24"/>
          <w:szCs w:val="24"/>
        </w:rPr>
        <w:t>年</w:t>
      </w:r>
      <w:r>
        <w:rPr>
          <w:rFonts w:hint="eastAsia" w:ascii="Times New Roman" w:hAnsi="Times New Roman" w:eastAsia="宋体" w:cs="Times New Roman"/>
          <w:sz w:val="24"/>
          <w:szCs w:val="24"/>
        </w:rPr>
        <w:t>7</w:t>
      </w:r>
      <w:r>
        <w:rPr>
          <w:rFonts w:hint="eastAsia" w:ascii="Times New Roman" w:hAnsi="宋体" w:eastAsia="宋体" w:cs="Times New Roman"/>
          <w:sz w:val="24"/>
          <w:szCs w:val="24"/>
        </w:rPr>
        <w:t>月</w:t>
      </w:r>
      <w:r>
        <w:rPr>
          <w:rFonts w:hint="eastAsia" w:ascii="Times New Roman" w:hAnsi="Times New Roman" w:eastAsia="宋体" w:cs="Times New Roman"/>
          <w:sz w:val="24"/>
          <w:szCs w:val="24"/>
        </w:rPr>
        <w:t>ESI</w:t>
      </w:r>
      <w:r>
        <w:rPr>
          <w:rFonts w:hint="eastAsia" w:ascii="Times New Roman" w:hAnsi="宋体" w:eastAsia="宋体" w:cs="Times New Roman"/>
          <w:sz w:val="24"/>
          <w:szCs w:val="24"/>
        </w:rPr>
        <w:t>国内排名上升至</w:t>
      </w:r>
      <w:r>
        <w:rPr>
          <w:rFonts w:ascii="Times New Roman" w:hAnsi="Times New Roman" w:eastAsia="宋体" w:cs="Times New Roman"/>
          <w:sz w:val="24"/>
          <w:szCs w:val="24"/>
        </w:rPr>
        <w:t>4</w:t>
      </w:r>
      <w:r>
        <w:rPr>
          <w:rFonts w:hint="eastAsia" w:ascii="Times New Roman" w:hAnsi="Times New Roman" w:eastAsia="宋体" w:cs="Times New Roman"/>
          <w:sz w:val="24"/>
          <w:szCs w:val="24"/>
        </w:rPr>
        <w:t>3</w:t>
      </w:r>
      <w:r>
        <w:rPr>
          <w:rFonts w:hint="eastAsia" w:ascii="Times New Roman" w:hAnsi="宋体" w:eastAsia="宋体" w:cs="Times New Roman"/>
          <w:sz w:val="24"/>
          <w:szCs w:val="24"/>
        </w:rPr>
        <w:t>位，在省属高校中位列第</w:t>
      </w:r>
      <w:r>
        <w:rPr>
          <w:rFonts w:hint="eastAsia" w:ascii="Times New Roman" w:hAnsi="Times New Roman" w:eastAsia="宋体" w:cs="Times New Roman"/>
          <w:sz w:val="24"/>
          <w:szCs w:val="24"/>
        </w:rPr>
        <w:t>1</w:t>
      </w:r>
      <w:r>
        <w:rPr>
          <w:rFonts w:hint="eastAsia" w:ascii="Times New Roman" w:hAnsi="宋体" w:eastAsia="宋体" w:cs="Times New Roman"/>
          <w:sz w:val="24"/>
          <w:szCs w:val="24"/>
        </w:rPr>
        <w:t>。</w:t>
      </w:r>
      <w:r>
        <w:rPr>
          <w:rFonts w:ascii="Times New Roman" w:hAnsi="宋体" w:eastAsia="宋体" w:cs="Times New Roman"/>
          <w:sz w:val="24"/>
          <w:szCs w:val="24"/>
        </w:rPr>
        <w:t>山东科技大学的排名表现出较快的上升速度</w:t>
      </w:r>
      <w:r>
        <w:rPr>
          <w:rFonts w:hint="eastAsia" w:ascii="Times New Roman" w:hAnsi="宋体" w:eastAsia="宋体" w:cs="Times New Roman"/>
          <w:sz w:val="24"/>
          <w:szCs w:val="24"/>
        </w:rPr>
        <w:t>，</w:t>
      </w:r>
      <w:r>
        <w:rPr>
          <w:rFonts w:ascii="Times New Roman" w:hAnsi="宋体" w:eastAsia="宋体" w:cs="Times New Roman"/>
          <w:sz w:val="24"/>
          <w:szCs w:val="24"/>
        </w:rPr>
        <w:t>由</w:t>
      </w:r>
      <w:r>
        <w:rPr>
          <w:rFonts w:hint="eastAsia" w:ascii="Times New Roman" w:hAnsi="Times New Roman" w:eastAsia="宋体" w:cs="Times New Roman"/>
          <w:sz w:val="24"/>
          <w:szCs w:val="24"/>
        </w:rPr>
        <w:t>202</w:t>
      </w:r>
      <w:r>
        <w:rPr>
          <w:rFonts w:ascii="Times New Roman" w:hAnsi="Times New Roman" w:eastAsia="宋体" w:cs="Times New Roman"/>
          <w:sz w:val="24"/>
          <w:szCs w:val="24"/>
        </w:rPr>
        <w:t>2</w:t>
      </w:r>
      <w:r>
        <w:rPr>
          <w:rFonts w:hint="eastAsia" w:ascii="Times New Roman" w:hAnsi="宋体" w:eastAsia="宋体" w:cs="Times New Roman"/>
          <w:sz w:val="24"/>
          <w:szCs w:val="24"/>
        </w:rPr>
        <w:t>年</w:t>
      </w:r>
      <w:r>
        <w:rPr>
          <w:rFonts w:hint="eastAsia" w:ascii="Times New Roman" w:hAnsi="Times New Roman" w:eastAsia="宋体" w:cs="Times New Roman"/>
          <w:sz w:val="24"/>
          <w:szCs w:val="24"/>
        </w:rPr>
        <w:t>9</w:t>
      </w:r>
      <w:r>
        <w:rPr>
          <w:rFonts w:ascii="Times New Roman" w:hAnsi="宋体" w:eastAsia="宋体" w:cs="Times New Roman"/>
          <w:sz w:val="24"/>
          <w:szCs w:val="24"/>
        </w:rPr>
        <w:t>月份的</w:t>
      </w:r>
      <w:r>
        <w:rPr>
          <w:rFonts w:hint="eastAsia" w:ascii="Times New Roman" w:hAnsi="Times New Roman" w:eastAsia="宋体" w:cs="Times New Roman"/>
          <w:sz w:val="24"/>
          <w:szCs w:val="24"/>
        </w:rPr>
        <w:t>72</w:t>
      </w:r>
      <w:r>
        <w:rPr>
          <w:rFonts w:hint="eastAsia" w:ascii="Times New Roman" w:hAnsi="宋体" w:eastAsia="宋体" w:cs="Times New Roman"/>
          <w:sz w:val="24"/>
          <w:szCs w:val="24"/>
        </w:rPr>
        <w:t>名上升至</w:t>
      </w:r>
      <w:r>
        <w:rPr>
          <w:rFonts w:hint="eastAsia" w:ascii="Times New Roman" w:hAnsi="Times New Roman" w:eastAsia="宋体" w:cs="Times New Roman"/>
          <w:sz w:val="24"/>
          <w:szCs w:val="24"/>
        </w:rPr>
        <w:t>202</w:t>
      </w:r>
      <w:r>
        <w:rPr>
          <w:rFonts w:ascii="Times New Roman" w:hAnsi="Times New Roman" w:eastAsia="宋体" w:cs="Times New Roman"/>
          <w:sz w:val="24"/>
          <w:szCs w:val="24"/>
        </w:rPr>
        <w:t>3</w:t>
      </w:r>
      <w:r>
        <w:rPr>
          <w:rFonts w:hint="eastAsia" w:ascii="Times New Roman" w:hAnsi="宋体" w:eastAsia="宋体" w:cs="Times New Roman"/>
          <w:sz w:val="24"/>
          <w:szCs w:val="24"/>
        </w:rPr>
        <w:t>年</w:t>
      </w:r>
      <w:r>
        <w:rPr>
          <w:rFonts w:hint="eastAsia" w:ascii="Times New Roman" w:hAnsi="Times New Roman" w:eastAsia="宋体" w:cs="Times New Roman"/>
          <w:sz w:val="24"/>
          <w:szCs w:val="24"/>
        </w:rPr>
        <w:t>7</w:t>
      </w:r>
      <w:r>
        <w:rPr>
          <w:rFonts w:hint="eastAsia" w:ascii="Times New Roman" w:hAnsi="宋体" w:eastAsia="宋体" w:cs="Times New Roman"/>
          <w:sz w:val="24"/>
          <w:szCs w:val="24"/>
        </w:rPr>
        <w:t>月份的</w:t>
      </w:r>
      <w:r>
        <w:rPr>
          <w:rFonts w:hint="eastAsia" w:ascii="Times New Roman" w:hAnsi="Times New Roman" w:eastAsia="宋体" w:cs="Times New Roman"/>
          <w:sz w:val="24"/>
          <w:szCs w:val="24"/>
        </w:rPr>
        <w:t>67</w:t>
      </w:r>
      <w:r>
        <w:rPr>
          <w:rFonts w:hint="eastAsia" w:ascii="Times New Roman" w:hAnsi="宋体" w:eastAsia="宋体" w:cs="Times New Roman"/>
          <w:sz w:val="24"/>
          <w:szCs w:val="24"/>
        </w:rPr>
        <w:t>名。山东第一医科大学呈现较为明显的下滑趋势，其余</w:t>
      </w:r>
      <w:r>
        <w:rPr>
          <w:rFonts w:hint="eastAsia" w:ascii="Times New Roman" w:hAnsi="Times New Roman" w:eastAsia="宋体" w:cs="Times New Roman"/>
          <w:sz w:val="24"/>
          <w:szCs w:val="24"/>
        </w:rPr>
        <w:t>13</w:t>
      </w:r>
      <w:r>
        <w:rPr>
          <w:rFonts w:hint="eastAsia" w:ascii="Times New Roman" w:hAnsi="宋体" w:eastAsia="宋体" w:cs="Times New Roman"/>
          <w:sz w:val="24"/>
          <w:szCs w:val="24"/>
        </w:rPr>
        <w:t>所省属高校国内排名均表现持平或平缓上升的趋势。</w:t>
      </w:r>
    </w:p>
    <w:p>
      <w:pPr>
        <w:widowControl/>
        <w:rPr>
          <w:rFonts w:ascii="Times New Roman" w:hAnsi="Times New Roman" w:eastAsia="宋体"/>
          <w:sz w:val="28"/>
        </w:rPr>
      </w:pPr>
    </w:p>
    <w:p>
      <w:pPr>
        <w:widowControl/>
        <w:rPr>
          <w:rFonts w:ascii="Times New Roman" w:hAnsi="Times New Roman" w:eastAsia="宋体"/>
          <w:sz w:val="28"/>
        </w:rPr>
      </w:pPr>
    </w:p>
    <w:p>
      <w:pPr>
        <w:widowControl/>
        <w:rPr>
          <w:rFonts w:ascii="Times New Roman" w:hAnsi="Times New Roman" w:eastAsia="宋体"/>
          <w:sz w:val="28"/>
        </w:rPr>
      </w:pPr>
    </w:p>
    <w:p>
      <w:pPr>
        <w:widowControl/>
        <w:rPr>
          <w:rFonts w:ascii="Times New Roman" w:hAnsi="Times New Roman" w:eastAsia="宋体"/>
          <w:sz w:val="28"/>
        </w:rPr>
      </w:pPr>
    </w:p>
    <w:p>
      <w:pPr>
        <w:widowControl/>
        <w:rPr>
          <w:rFonts w:ascii="Times New Roman" w:hAnsi="Times New Roman" w:eastAsia="宋体"/>
          <w:sz w:val="28"/>
        </w:rPr>
        <w:sectPr>
          <w:pgSz w:w="11906" w:h="16838"/>
          <w:pgMar w:top="1440" w:right="1797" w:bottom="1440" w:left="1797" w:header="851" w:footer="992" w:gutter="0"/>
          <w:cols w:space="425" w:num="1"/>
          <w:docGrid w:type="linesAndChars" w:linePitch="312" w:charSpace="0"/>
        </w:sectPr>
      </w:pPr>
    </w:p>
    <w:p>
      <w:pPr>
        <w:spacing w:line="360" w:lineRule="auto"/>
        <w:jc w:val="center"/>
        <w:rPr>
          <w:rFonts w:ascii="Times New Roman" w:hAnsi="宋体" w:eastAsia="宋体" w:cs="Times New Roman"/>
          <w:bCs/>
          <w:sz w:val="18"/>
          <w:szCs w:val="18"/>
        </w:rPr>
      </w:pPr>
      <w:r>
        <w:rPr>
          <w:rFonts w:ascii="Times New Roman" w:hAnsi="宋体" w:eastAsia="宋体" w:cs="Times New Roman"/>
          <w:bCs/>
          <w:sz w:val="18"/>
          <w:szCs w:val="18"/>
        </w:rPr>
        <w:drawing>
          <wp:inline distT="0" distB="0" distL="0" distR="0">
            <wp:extent cx="8694420" cy="4912995"/>
            <wp:effectExtent l="19050" t="0" r="10804" b="1706"/>
            <wp:docPr id="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360" w:lineRule="auto"/>
        <w:jc w:val="center"/>
        <w:rPr>
          <w:rFonts w:ascii="Times New Roman" w:hAnsi="Times New Roman" w:eastAsia="宋体"/>
          <w:sz w:val="28"/>
        </w:rPr>
      </w:pPr>
      <w:r>
        <w:rPr>
          <w:rFonts w:hint="eastAsia" w:ascii="Times New Roman" w:hAnsi="宋体" w:eastAsia="宋体" w:cs="Times New Roman"/>
          <w:bCs/>
          <w:sz w:val="18"/>
          <w:szCs w:val="18"/>
        </w:rPr>
        <w:t>图</w:t>
      </w:r>
      <w:r>
        <w:rPr>
          <w:rFonts w:hint="eastAsia" w:ascii="Times New Roman" w:hAnsi="Times New Roman" w:eastAsia="宋体" w:cs="Times New Roman"/>
          <w:bCs/>
          <w:sz w:val="18"/>
          <w:szCs w:val="18"/>
        </w:rPr>
        <w:t xml:space="preserve">4-1 </w:t>
      </w:r>
      <w:bookmarkStart w:id="7" w:name="_Hlk519871409"/>
      <w:r>
        <w:rPr>
          <w:rFonts w:hint="eastAsia" w:ascii="Times New Roman" w:hAnsi="宋体" w:eastAsia="宋体" w:cs="Times New Roman"/>
          <w:bCs/>
          <w:sz w:val="18"/>
          <w:szCs w:val="18"/>
        </w:rPr>
        <w:t>山东省省属高校</w:t>
      </w:r>
      <w:r>
        <w:rPr>
          <w:rFonts w:hint="eastAsia" w:ascii="Times New Roman" w:hAnsi="Times New Roman" w:eastAsia="宋体" w:cs="Times New Roman"/>
          <w:bCs/>
          <w:sz w:val="18"/>
          <w:szCs w:val="18"/>
        </w:rPr>
        <w:t>ESI</w:t>
      </w:r>
      <w:r>
        <w:rPr>
          <w:rFonts w:hint="eastAsia" w:ascii="Times New Roman" w:hAnsi="宋体" w:eastAsia="宋体" w:cs="Times New Roman"/>
          <w:bCs/>
          <w:sz w:val="18"/>
          <w:szCs w:val="18"/>
        </w:rPr>
        <w:t>化学国际排名变化趋势（</w:t>
      </w:r>
      <w:r>
        <w:rPr>
          <w:rFonts w:hint="eastAsia" w:ascii="Times New Roman" w:hAnsi="Times New Roman" w:eastAsia="宋体" w:cs="Times New Roman"/>
          <w:bCs/>
          <w:sz w:val="18"/>
          <w:szCs w:val="18"/>
        </w:rPr>
        <w:t>202</w:t>
      </w:r>
      <w:r>
        <w:rPr>
          <w:rFonts w:ascii="Times New Roman" w:hAnsi="Times New Roman" w:eastAsia="宋体" w:cs="Times New Roman"/>
          <w:bCs/>
          <w:sz w:val="18"/>
          <w:szCs w:val="18"/>
        </w:rPr>
        <w:t>2.0</w:t>
      </w:r>
      <w:r>
        <w:rPr>
          <w:rFonts w:hint="eastAsia" w:ascii="Times New Roman" w:hAnsi="Times New Roman" w:eastAsia="宋体" w:cs="Times New Roman"/>
          <w:bCs/>
          <w:sz w:val="18"/>
          <w:szCs w:val="18"/>
        </w:rPr>
        <w:t>9-202</w:t>
      </w:r>
      <w:r>
        <w:rPr>
          <w:rFonts w:ascii="Times New Roman" w:hAnsi="Times New Roman" w:eastAsia="宋体" w:cs="Times New Roman"/>
          <w:bCs/>
          <w:sz w:val="18"/>
          <w:szCs w:val="18"/>
        </w:rPr>
        <w:t>3.0</w:t>
      </w:r>
      <w:r>
        <w:rPr>
          <w:rFonts w:hint="eastAsia" w:ascii="Times New Roman" w:hAnsi="Times New Roman" w:eastAsia="宋体" w:cs="Times New Roman"/>
          <w:bCs/>
          <w:sz w:val="18"/>
          <w:szCs w:val="18"/>
        </w:rPr>
        <w:t>7</w:t>
      </w:r>
      <w:r>
        <w:rPr>
          <w:rFonts w:hint="eastAsia" w:ascii="Times New Roman" w:hAnsi="宋体" w:eastAsia="宋体" w:cs="Times New Roman"/>
          <w:bCs/>
          <w:sz w:val="18"/>
          <w:szCs w:val="18"/>
        </w:rPr>
        <w:t>）</w:t>
      </w:r>
      <w:bookmarkEnd w:id="7"/>
    </w:p>
    <w:p>
      <w:pPr>
        <w:spacing w:line="360" w:lineRule="auto"/>
        <w:jc w:val="center"/>
        <w:rPr>
          <w:rFonts w:ascii="Times New Roman" w:hAnsi="宋体" w:eastAsia="宋体" w:cs="Times New Roman"/>
          <w:bCs/>
          <w:sz w:val="18"/>
          <w:szCs w:val="18"/>
        </w:rPr>
      </w:pPr>
      <w:r>
        <w:rPr>
          <w:rFonts w:ascii="Times New Roman" w:hAnsi="宋体" w:eastAsia="宋体" w:cs="Times New Roman"/>
          <w:bCs/>
          <w:sz w:val="18"/>
          <w:szCs w:val="18"/>
        </w:rPr>
        <w:drawing>
          <wp:inline distT="0" distB="0" distL="0" distR="0">
            <wp:extent cx="8435340" cy="4919980"/>
            <wp:effectExtent l="19050" t="0" r="22462"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360" w:lineRule="auto"/>
        <w:jc w:val="center"/>
        <w:rPr>
          <w:rFonts w:ascii="Times New Roman" w:hAnsi="Times New Roman" w:eastAsia="宋体" w:cs="Times New Roman"/>
          <w:bCs/>
          <w:sz w:val="18"/>
          <w:szCs w:val="18"/>
        </w:rPr>
      </w:pPr>
      <w:r>
        <w:rPr>
          <w:rFonts w:hint="eastAsia" w:ascii="Times New Roman" w:hAnsi="宋体" w:eastAsia="宋体" w:cs="Times New Roman"/>
          <w:bCs/>
          <w:sz w:val="18"/>
          <w:szCs w:val="18"/>
        </w:rPr>
        <w:t>图</w:t>
      </w:r>
      <w:r>
        <w:rPr>
          <w:rFonts w:hint="eastAsia" w:ascii="Times New Roman" w:hAnsi="Times New Roman" w:eastAsia="宋体" w:cs="Times New Roman"/>
          <w:bCs/>
          <w:sz w:val="18"/>
          <w:szCs w:val="18"/>
        </w:rPr>
        <w:t xml:space="preserve">4-2 </w:t>
      </w:r>
      <w:r>
        <w:rPr>
          <w:rFonts w:hint="eastAsia" w:ascii="Times New Roman" w:hAnsi="宋体" w:eastAsia="宋体" w:cs="Times New Roman"/>
          <w:bCs/>
          <w:sz w:val="18"/>
          <w:szCs w:val="18"/>
        </w:rPr>
        <w:t>山东省省属高校</w:t>
      </w:r>
      <w:r>
        <w:rPr>
          <w:rFonts w:hint="eastAsia" w:ascii="Times New Roman" w:hAnsi="Times New Roman" w:eastAsia="宋体" w:cs="Times New Roman"/>
          <w:bCs/>
          <w:sz w:val="18"/>
          <w:szCs w:val="18"/>
        </w:rPr>
        <w:t>ESI</w:t>
      </w:r>
      <w:r>
        <w:rPr>
          <w:rFonts w:hint="eastAsia" w:ascii="Times New Roman" w:hAnsi="宋体" w:eastAsia="宋体" w:cs="Times New Roman"/>
          <w:bCs/>
          <w:sz w:val="18"/>
          <w:szCs w:val="18"/>
        </w:rPr>
        <w:t>化学国内排名变化趋势（</w:t>
      </w:r>
      <w:r>
        <w:rPr>
          <w:rFonts w:hint="eastAsia" w:ascii="Times New Roman" w:hAnsi="Times New Roman" w:eastAsia="宋体" w:cs="Times New Roman"/>
          <w:bCs/>
          <w:sz w:val="18"/>
          <w:szCs w:val="18"/>
        </w:rPr>
        <w:t>202</w:t>
      </w:r>
      <w:r>
        <w:rPr>
          <w:rFonts w:ascii="Times New Roman" w:hAnsi="Times New Roman" w:eastAsia="宋体" w:cs="Times New Roman"/>
          <w:bCs/>
          <w:sz w:val="18"/>
          <w:szCs w:val="18"/>
        </w:rPr>
        <w:t>2.0</w:t>
      </w:r>
      <w:r>
        <w:rPr>
          <w:rFonts w:hint="eastAsia" w:ascii="Times New Roman" w:hAnsi="Times New Roman" w:eastAsia="宋体" w:cs="Times New Roman"/>
          <w:bCs/>
          <w:sz w:val="18"/>
          <w:szCs w:val="18"/>
        </w:rPr>
        <w:t>9-202</w:t>
      </w:r>
      <w:r>
        <w:rPr>
          <w:rFonts w:ascii="Times New Roman" w:hAnsi="Times New Roman" w:eastAsia="宋体" w:cs="Times New Roman"/>
          <w:bCs/>
          <w:sz w:val="18"/>
          <w:szCs w:val="18"/>
        </w:rPr>
        <w:t>3</w:t>
      </w:r>
      <w:r>
        <w:rPr>
          <w:rFonts w:hint="eastAsia" w:ascii="Times New Roman" w:hAnsi="Times New Roman" w:eastAsia="宋体" w:cs="Times New Roman"/>
          <w:bCs/>
          <w:sz w:val="18"/>
          <w:szCs w:val="18"/>
        </w:rPr>
        <w:t>.</w:t>
      </w:r>
      <w:r>
        <w:rPr>
          <w:rFonts w:ascii="Times New Roman" w:hAnsi="Times New Roman" w:eastAsia="宋体" w:cs="Times New Roman"/>
          <w:bCs/>
          <w:sz w:val="18"/>
          <w:szCs w:val="18"/>
        </w:rPr>
        <w:t>0</w:t>
      </w:r>
      <w:r>
        <w:rPr>
          <w:rFonts w:hint="eastAsia" w:ascii="Times New Roman" w:hAnsi="Times New Roman" w:eastAsia="宋体" w:cs="Times New Roman"/>
          <w:bCs/>
          <w:sz w:val="18"/>
          <w:szCs w:val="18"/>
        </w:rPr>
        <w:t>7</w:t>
      </w:r>
      <w:r>
        <w:rPr>
          <w:rFonts w:hint="eastAsia" w:ascii="Times New Roman" w:hAnsi="宋体" w:eastAsia="宋体" w:cs="Times New Roman"/>
          <w:bCs/>
          <w:sz w:val="18"/>
          <w:szCs w:val="18"/>
        </w:rPr>
        <w:t>）</w:t>
      </w:r>
    </w:p>
    <w:p>
      <w:pPr>
        <w:jc w:val="center"/>
        <w:rPr>
          <w:rFonts w:ascii="Times New Roman" w:hAnsi="Times New Roman" w:eastAsia="宋体"/>
          <w:b/>
          <w:sz w:val="28"/>
        </w:rPr>
        <w:sectPr>
          <w:pgSz w:w="16838" w:h="11906" w:orient="landscape"/>
          <w:pgMar w:top="1797" w:right="1440" w:bottom="1797" w:left="1440" w:header="851" w:footer="992" w:gutter="0"/>
          <w:cols w:space="425" w:num="1"/>
          <w:docGrid w:type="linesAndChars" w:linePitch="312" w:charSpace="0"/>
        </w:sectPr>
      </w:pPr>
    </w:p>
    <w:p>
      <w:pPr>
        <w:pStyle w:val="3"/>
        <w:numPr>
          <w:ilvl w:val="0"/>
          <w:numId w:val="2"/>
        </w:numPr>
        <w:spacing w:after="0"/>
        <w:jc w:val="left"/>
        <w:rPr>
          <w:rFonts w:ascii="Times New Roman" w:hAnsi="Times New Roman" w:eastAsia="宋体" w:cs="Times New Roman"/>
        </w:rPr>
      </w:pPr>
      <w:bookmarkStart w:id="8" w:name="_Toc57970766"/>
      <w:bookmarkStart w:id="9" w:name="_Toc15296"/>
      <w:r>
        <w:rPr>
          <w:rFonts w:hint="eastAsia" w:ascii="Times New Roman" w:hAnsi="Times New Roman" w:eastAsia="宋体" w:cs="Times New Roman"/>
        </w:rPr>
        <w:t>山东省省属高校ESI化学竞争力对比分析</w:t>
      </w:r>
      <w:bookmarkEnd w:id="8"/>
      <w:bookmarkEnd w:id="9"/>
    </w:p>
    <w:p>
      <w:pPr>
        <w:spacing w:line="360" w:lineRule="auto"/>
        <w:ind w:firstLine="426"/>
        <w:rPr>
          <w:rFonts w:ascii="Times New Roman" w:hAnsi="Times New Roman" w:eastAsia="宋体" w:cs="Times New Roman"/>
          <w:sz w:val="24"/>
          <w:szCs w:val="24"/>
        </w:rPr>
      </w:pPr>
      <w:r>
        <w:rPr>
          <w:rFonts w:hint="eastAsia" w:ascii="Times New Roman" w:hAnsi="Times New Roman" w:eastAsia="宋体" w:cs="Times New Roman"/>
          <w:sz w:val="24"/>
          <w:szCs w:val="24"/>
        </w:rPr>
        <w:t>进入ESI化学学科的14所山东省省属高校分别为</w:t>
      </w:r>
      <w:r>
        <w:rPr>
          <w:rFonts w:hint="eastAsia" w:ascii="Times New Roman" w:eastAsia="宋体"/>
          <w:sz w:val="24"/>
          <w:szCs w:val="24"/>
        </w:rPr>
        <w:t>青岛大学、山东科技大学、济南大学、青岛科技大学、山东农业大学、曲阜师范大学、齐鲁工业大学、青岛农业大学、山东师范大学、烟台大学、山东第一医科大学、聊城大学、山东理工大学、临沂大学</w:t>
      </w:r>
      <w:r>
        <w:rPr>
          <w:rFonts w:hint="eastAsia" w:ascii="Times New Roman" w:hAnsi="Times New Roman" w:eastAsia="宋体" w:cs="Times New Roman"/>
          <w:sz w:val="24"/>
          <w:szCs w:val="24"/>
        </w:rPr>
        <w:t>，各校ESI化学具体评价指标如表5-1所示。</w:t>
      </w:r>
    </w:p>
    <w:p>
      <w:pPr>
        <w:spacing w:line="360" w:lineRule="auto"/>
        <w:ind w:firstLine="424" w:firstLineChars="177"/>
        <w:rPr>
          <w:rFonts w:ascii="Times New Roman" w:hAnsi="Times New Roman" w:eastAsia="宋体" w:cs="Times New Roman"/>
          <w:sz w:val="24"/>
          <w:szCs w:val="24"/>
        </w:rPr>
      </w:pPr>
      <w:r>
        <w:rPr>
          <w:rFonts w:hint="eastAsia" w:ascii="Times New Roman" w:hAnsi="Times New Roman" w:eastAsia="宋体" w:cs="Times New Roman"/>
          <w:sz w:val="24"/>
          <w:szCs w:val="24"/>
        </w:rPr>
        <w:t>从发文量来看，青岛科技大学的“化学”WoS论文数量最多，20</w:t>
      </w:r>
      <w:r>
        <w:rPr>
          <w:rFonts w:ascii="Times New Roman" w:hAnsi="Times New Roman" w:eastAsia="宋体" w:cs="Times New Roman"/>
          <w:sz w:val="24"/>
          <w:szCs w:val="24"/>
        </w:rPr>
        <w:t>1</w:t>
      </w:r>
      <w:r>
        <w:rPr>
          <w:rFonts w:hint="eastAsia" w:ascii="Times New Roman" w:hAnsi="Times New Roman" w:eastAsia="宋体" w:cs="Times New Roman"/>
          <w:sz w:val="24"/>
          <w:szCs w:val="24"/>
        </w:rPr>
        <w:t>3年至20</w:t>
      </w:r>
      <w:r>
        <w:rPr>
          <w:rFonts w:ascii="Times New Roman" w:hAnsi="Times New Roman" w:eastAsia="宋体" w:cs="Times New Roman"/>
          <w:sz w:val="24"/>
          <w:szCs w:val="24"/>
        </w:rPr>
        <w:t>2</w:t>
      </w:r>
      <w:r>
        <w:rPr>
          <w:rFonts w:hint="eastAsia" w:ascii="Times New Roman" w:hAnsi="Times New Roman" w:eastAsia="宋体" w:cs="Times New Roman"/>
          <w:sz w:val="24"/>
          <w:szCs w:val="24"/>
        </w:rPr>
        <w:t>3年总共发表论文5591篇，</w:t>
      </w:r>
      <w:r>
        <w:rPr>
          <w:rFonts w:hint="eastAsia" w:ascii="Times New Roman" w:eastAsia="宋体"/>
          <w:sz w:val="24"/>
          <w:szCs w:val="24"/>
        </w:rPr>
        <w:t>较排名第二的</w:t>
      </w:r>
      <w:r>
        <w:rPr>
          <w:rFonts w:ascii="Times New Roman" w:eastAsia="宋体"/>
          <w:sz w:val="24"/>
          <w:szCs w:val="24"/>
        </w:rPr>
        <w:t>济南大学</w:t>
      </w:r>
      <w:r>
        <w:rPr>
          <w:rFonts w:hint="eastAsia" w:ascii="Times New Roman" w:eastAsia="宋体"/>
          <w:sz w:val="24"/>
          <w:szCs w:val="24"/>
        </w:rPr>
        <w:t>（</w:t>
      </w:r>
      <w:r>
        <w:rPr>
          <w:rFonts w:hint="eastAsia" w:ascii="Times New Roman" w:hAnsi="Times New Roman" w:eastAsia="宋体"/>
          <w:sz w:val="24"/>
          <w:szCs w:val="24"/>
        </w:rPr>
        <w:t>3</w:t>
      </w:r>
      <w:r>
        <w:rPr>
          <w:rFonts w:ascii="Times New Roman" w:hAnsi="Times New Roman" w:eastAsia="宋体"/>
          <w:sz w:val="24"/>
          <w:szCs w:val="24"/>
        </w:rPr>
        <w:t>8</w:t>
      </w:r>
      <w:r>
        <w:rPr>
          <w:rFonts w:hint="eastAsia" w:ascii="Times New Roman" w:hAnsi="Times New Roman" w:eastAsia="宋体"/>
          <w:sz w:val="24"/>
          <w:szCs w:val="24"/>
        </w:rPr>
        <w:t>64</w:t>
      </w:r>
      <w:r>
        <w:rPr>
          <w:rFonts w:hint="eastAsia" w:ascii="Times New Roman" w:eastAsia="宋体"/>
          <w:sz w:val="24"/>
          <w:szCs w:val="24"/>
        </w:rPr>
        <w:t>篇）有一定优势</w:t>
      </w:r>
      <w:r>
        <w:rPr>
          <w:rFonts w:ascii="Times New Roman" w:eastAsia="宋体"/>
          <w:sz w:val="24"/>
          <w:szCs w:val="24"/>
        </w:rPr>
        <w:t>。发文总量超过</w:t>
      </w:r>
      <w:r>
        <w:rPr>
          <w:rFonts w:ascii="Times New Roman" w:hAnsi="Times New Roman" w:eastAsia="宋体"/>
          <w:sz w:val="24"/>
          <w:szCs w:val="24"/>
        </w:rPr>
        <w:t>1000</w:t>
      </w:r>
      <w:r>
        <w:rPr>
          <w:rFonts w:ascii="Times New Roman" w:eastAsia="宋体"/>
          <w:sz w:val="24"/>
          <w:szCs w:val="24"/>
        </w:rPr>
        <w:t>篇的共有</w:t>
      </w:r>
      <w:r>
        <w:rPr>
          <w:rFonts w:hint="eastAsia" w:ascii="Times New Roman" w:hAnsi="Times New Roman" w:eastAsia="宋体"/>
          <w:sz w:val="24"/>
          <w:szCs w:val="24"/>
        </w:rPr>
        <w:t>12</w:t>
      </w:r>
      <w:r>
        <w:rPr>
          <w:rFonts w:ascii="Times New Roman" w:eastAsia="宋体"/>
          <w:sz w:val="24"/>
          <w:szCs w:val="24"/>
        </w:rPr>
        <w:t>所高校，除我校和济南大学外，还有齐鲁工业大学</w:t>
      </w:r>
      <w:r>
        <w:rPr>
          <w:rFonts w:hint="eastAsia" w:ascii="Times New Roman" w:eastAsia="宋体"/>
          <w:sz w:val="24"/>
          <w:szCs w:val="24"/>
        </w:rPr>
        <w:t>、</w:t>
      </w:r>
      <w:r>
        <w:rPr>
          <w:rFonts w:ascii="Times New Roman" w:eastAsia="宋体"/>
          <w:sz w:val="24"/>
          <w:szCs w:val="24"/>
        </w:rPr>
        <w:t>青岛大学</w:t>
      </w:r>
      <w:r>
        <w:rPr>
          <w:rFonts w:hint="eastAsia" w:ascii="Times New Roman" w:eastAsia="宋体"/>
          <w:sz w:val="24"/>
          <w:szCs w:val="24"/>
        </w:rPr>
        <w:t>、</w:t>
      </w:r>
      <w:r>
        <w:rPr>
          <w:rFonts w:ascii="Times New Roman" w:eastAsia="宋体"/>
          <w:sz w:val="24"/>
          <w:szCs w:val="24"/>
        </w:rPr>
        <w:t>山东师范大学</w:t>
      </w:r>
      <w:r>
        <w:rPr>
          <w:rFonts w:hint="eastAsia" w:ascii="Times New Roman" w:eastAsia="宋体"/>
          <w:sz w:val="24"/>
          <w:szCs w:val="24"/>
        </w:rPr>
        <w:t>、山东科技大学、</w:t>
      </w:r>
      <w:r>
        <w:rPr>
          <w:rFonts w:ascii="Times New Roman" w:eastAsia="宋体"/>
          <w:sz w:val="24"/>
          <w:szCs w:val="24"/>
        </w:rPr>
        <w:t>曲阜师范大学</w:t>
      </w:r>
      <w:r>
        <w:rPr>
          <w:rFonts w:hint="eastAsia" w:ascii="Times New Roman" w:eastAsia="宋体"/>
          <w:sz w:val="24"/>
          <w:szCs w:val="24"/>
        </w:rPr>
        <w:t>、</w:t>
      </w:r>
      <w:r>
        <w:rPr>
          <w:rFonts w:ascii="Times New Roman" w:eastAsia="宋体"/>
          <w:sz w:val="24"/>
          <w:szCs w:val="24"/>
        </w:rPr>
        <w:t>聊城大学、山东理工大学</w:t>
      </w:r>
      <w:r>
        <w:rPr>
          <w:rFonts w:hint="eastAsia" w:ascii="Times New Roman" w:eastAsia="宋体"/>
          <w:sz w:val="24"/>
          <w:szCs w:val="24"/>
        </w:rPr>
        <w:t>、</w:t>
      </w:r>
      <w:r>
        <w:rPr>
          <w:rFonts w:ascii="Times New Roman" w:eastAsia="宋体"/>
          <w:sz w:val="24"/>
          <w:szCs w:val="24"/>
        </w:rPr>
        <w:t>烟台大学</w:t>
      </w:r>
      <w:r>
        <w:rPr>
          <w:rFonts w:hint="eastAsia" w:ascii="Times New Roman" w:eastAsia="宋体"/>
          <w:sz w:val="24"/>
          <w:szCs w:val="24"/>
        </w:rPr>
        <w:t>、青岛农业大学和山东农业大学</w:t>
      </w:r>
      <w:r>
        <w:rPr>
          <w:rFonts w:ascii="Times New Roman" w:eastAsia="宋体"/>
          <w:sz w:val="24"/>
          <w:szCs w:val="24"/>
        </w:rPr>
        <w:t>。</w:t>
      </w:r>
      <w:r>
        <w:rPr>
          <w:rFonts w:hint="eastAsia" w:ascii="Times New Roman" w:eastAsia="宋体"/>
          <w:sz w:val="24"/>
          <w:szCs w:val="24"/>
        </w:rPr>
        <w:t>就</w:t>
      </w:r>
      <w:r>
        <w:rPr>
          <w:rFonts w:hint="eastAsia" w:ascii="Times New Roman" w:hAnsi="Times New Roman" w:eastAsia="宋体"/>
          <w:sz w:val="24"/>
          <w:szCs w:val="24"/>
        </w:rPr>
        <w:t>2013-2023</w:t>
      </w:r>
      <w:r>
        <w:rPr>
          <w:rFonts w:hint="eastAsia" w:ascii="Times New Roman" w:eastAsia="宋体"/>
          <w:sz w:val="24"/>
          <w:szCs w:val="24"/>
        </w:rPr>
        <w:t>十年被引频次数据来看，青岛科技大学在省属高校中排名第一</w:t>
      </w:r>
      <w:r>
        <w:rPr>
          <w:rFonts w:hint="eastAsia" w:ascii="Times New Roman" w:eastAsia="宋体"/>
          <w:sz w:val="24"/>
          <w:szCs w:val="24"/>
          <w:lang w:eastAsia="zh-CN"/>
        </w:rPr>
        <w:t>，</w:t>
      </w:r>
      <w:r>
        <w:rPr>
          <w:rFonts w:hint="eastAsia" w:ascii="Times New Roman" w:eastAsia="宋体"/>
          <w:sz w:val="24"/>
          <w:szCs w:val="24"/>
        </w:rPr>
        <w:t>为</w:t>
      </w:r>
      <w:r>
        <w:rPr>
          <w:rFonts w:hint="eastAsia" w:ascii="Times New Roman" w:hAnsi="Times New Roman" w:eastAsia="宋体"/>
          <w:sz w:val="24"/>
          <w:szCs w:val="24"/>
        </w:rPr>
        <w:t>94900</w:t>
      </w:r>
      <w:r>
        <w:rPr>
          <w:rFonts w:hint="eastAsia" w:ascii="Times New Roman" w:eastAsia="宋体"/>
          <w:sz w:val="24"/>
          <w:szCs w:val="24"/>
        </w:rPr>
        <w:t>次，较排名第二的济南大学（</w:t>
      </w:r>
      <w:r>
        <w:rPr>
          <w:rFonts w:hint="eastAsia" w:ascii="Times New Roman" w:hAnsi="Times New Roman" w:eastAsia="宋体"/>
          <w:sz w:val="24"/>
          <w:szCs w:val="24"/>
        </w:rPr>
        <w:t>83117</w:t>
      </w:r>
      <w:r>
        <w:rPr>
          <w:rFonts w:hint="eastAsia" w:ascii="Times New Roman" w:eastAsia="宋体"/>
          <w:sz w:val="24"/>
          <w:szCs w:val="24"/>
        </w:rPr>
        <w:t>）有略微优势</w:t>
      </w:r>
      <w:r>
        <w:rPr>
          <w:rFonts w:ascii="Times New Roman" w:eastAsia="宋体"/>
          <w:sz w:val="24"/>
          <w:szCs w:val="24"/>
        </w:rPr>
        <w:t>；</w:t>
      </w:r>
      <w:r>
        <w:rPr>
          <w:rFonts w:hint="eastAsia" w:ascii="Times New Roman" w:eastAsia="宋体"/>
          <w:sz w:val="24"/>
          <w:szCs w:val="24"/>
        </w:rPr>
        <w:t>其次为</w:t>
      </w:r>
      <w:r>
        <w:rPr>
          <w:rFonts w:ascii="Times New Roman" w:eastAsia="宋体"/>
          <w:sz w:val="24"/>
          <w:szCs w:val="24"/>
        </w:rPr>
        <w:t>青岛大学、山东科技大学、山东师范大学、</w:t>
      </w:r>
      <w:r>
        <w:rPr>
          <w:rFonts w:hint="eastAsia" w:ascii="Times New Roman" w:eastAsia="宋体"/>
          <w:sz w:val="24"/>
          <w:szCs w:val="24"/>
        </w:rPr>
        <w:t>齐鲁工业大学、</w:t>
      </w:r>
      <w:r>
        <w:rPr>
          <w:rFonts w:ascii="Times New Roman" w:eastAsia="宋体"/>
          <w:sz w:val="24"/>
          <w:szCs w:val="24"/>
        </w:rPr>
        <w:t>曲阜师范大学</w:t>
      </w:r>
      <w:r>
        <w:rPr>
          <w:rFonts w:hint="eastAsia" w:ascii="Times New Roman" w:eastAsia="宋体"/>
          <w:sz w:val="24"/>
          <w:szCs w:val="24"/>
        </w:rPr>
        <w:t>、聊城大学、山东理工大学、烟台大学和青岛农业大学等山东九所高校</w:t>
      </w:r>
      <w:r>
        <w:rPr>
          <w:rFonts w:ascii="Times New Roman" w:eastAsia="宋体"/>
          <w:sz w:val="24"/>
          <w:szCs w:val="24"/>
        </w:rPr>
        <w:t>的</w:t>
      </w:r>
      <w:r>
        <w:rPr>
          <w:rFonts w:hint="eastAsia" w:ascii="Times New Roman" w:hAnsi="Times New Roman" w:eastAsia="宋体" w:cs="Times New Roman"/>
          <w:sz w:val="24"/>
          <w:szCs w:val="24"/>
        </w:rPr>
        <w:t>“化学”</w:t>
      </w:r>
      <w:r>
        <w:rPr>
          <w:rFonts w:ascii="Times New Roman" w:eastAsia="宋体"/>
          <w:sz w:val="24"/>
          <w:szCs w:val="24"/>
        </w:rPr>
        <w:t>学科论文被引频次也均超过了</w:t>
      </w:r>
      <w:r>
        <w:rPr>
          <w:rFonts w:ascii="Times New Roman" w:hAnsi="Times New Roman" w:eastAsia="宋体"/>
          <w:sz w:val="24"/>
          <w:szCs w:val="24"/>
        </w:rPr>
        <w:t>20000</w:t>
      </w:r>
      <w:r>
        <w:rPr>
          <w:rFonts w:ascii="Times New Roman" w:eastAsia="宋体"/>
          <w:sz w:val="24"/>
          <w:szCs w:val="24"/>
        </w:rPr>
        <w:t>次。</w:t>
      </w:r>
    </w:p>
    <w:p>
      <w:pPr>
        <w:spacing w:line="360" w:lineRule="auto"/>
        <w:jc w:val="center"/>
        <w:rPr>
          <w:rFonts w:ascii="Times New Roman" w:hAnsi="Times New Roman" w:eastAsia="宋体" w:cs="Times New Roman"/>
          <w:bCs/>
          <w:sz w:val="18"/>
          <w:szCs w:val="18"/>
        </w:rPr>
      </w:pPr>
      <w:r>
        <w:rPr>
          <w:rFonts w:hint="eastAsia" w:ascii="Times New Roman" w:hAnsi="宋体" w:eastAsia="宋体" w:cs="Times New Roman"/>
          <w:bCs/>
          <w:sz w:val="18"/>
          <w:szCs w:val="18"/>
        </w:rPr>
        <w:t>表</w:t>
      </w:r>
      <w:r>
        <w:rPr>
          <w:rFonts w:hint="eastAsia" w:ascii="Times New Roman" w:hAnsi="Times New Roman" w:eastAsia="宋体" w:cs="Times New Roman"/>
          <w:bCs/>
          <w:sz w:val="18"/>
          <w:szCs w:val="18"/>
        </w:rPr>
        <w:t xml:space="preserve">5-1 </w:t>
      </w:r>
      <w:r>
        <w:rPr>
          <w:rFonts w:hint="eastAsia" w:ascii="Times New Roman" w:hAnsi="宋体" w:eastAsia="宋体" w:cs="Times New Roman"/>
          <w:bCs/>
          <w:sz w:val="18"/>
          <w:szCs w:val="18"/>
        </w:rPr>
        <w:t>省属</w:t>
      </w:r>
      <w:r>
        <w:rPr>
          <w:rFonts w:hint="eastAsia" w:ascii="Times New Roman" w:hAnsi="Times New Roman" w:eastAsia="宋体" w:cs="Times New Roman"/>
          <w:bCs/>
          <w:sz w:val="18"/>
          <w:szCs w:val="18"/>
        </w:rPr>
        <w:t>14</w:t>
      </w:r>
      <w:r>
        <w:rPr>
          <w:rFonts w:hint="eastAsia" w:ascii="Times New Roman" w:hAnsi="宋体" w:eastAsia="宋体" w:cs="Times New Roman"/>
          <w:bCs/>
          <w:sz w:val="18"/>
          <w:szCs w:val="18"/>
        </w:rPr>
        <w:t>所高校</w:t>
      </w:r>
      <w:r>
        <w:rPr>
          <w:rFonts w:hint="eastAsia" w:ascii="Times New Roman" w:hAnsi="Times New Roman" w:eastAsia="宋体" w:cs="Times New Roman"/>
          <w:bCs/>
          <w:sz w:val="18"/>
          <w:szCs w:val="18"/>
        </w:rPr>
        <w:t>ESI</w:t>
      </w:r>
      <w:r>
        <w:rPr>
          <w:rFonts w:hint="eastAsia" w:ascii="Times New Roman" w:hAnsi="宋体" w:eastAsia="宋体" w:cs="Times New Roman"/>
          <w:bCs/>
          <w:sz w:val="18"/>
          <w:szCs w:val="18"/>
        </w:rPr>
        <w:t>化学学科指标情况（按被引频次排序）</w:t>
      </w:r>
    </w:p>
    <w:tbl>
      <w:tblPr>
        <w:tblStyle w:val="11"/>
        <w:tblW w:w="7665" w:type="dxa"/>
        <w:jc w:val="center"/>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91"/>
        <w:gridCol w:w="988"/>
        <w:gridCol w:w="1085"/>
        <w:gridCol w:w="1272"/>
        <w:gridCol w:w="876"/>
        <w:gridCol w:w="1453"/>
      </w:tblGrid>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bottom w:val="single" w:color="000000" w:themeColor="text1" w:sz="12" w:space="0"/>
            </w:tcBorders>
            <w:shd w:val="clear" w:color="auto" w:fill="auto"/>
            <w:noWrap/>
            <w:vAlign w:val="center"/>
          </w:tcPr>
          <w:p>
            <w:pPr>
              <w:jc w:val="center"/>
              <w:rPr>
                <w:rFonts w:ascii="Times New Roman" w:hAnsi="Times New Roman" w:eastAsia="宋体" w:cs="Times New Roman"/>
                <w:b/>
              </w:rPr>
            </w:pPr>
            <w:r>
              <w:rPr>
                <w:rFonts w:hint="eastAsia" w:ascii="Times New Roman" w:hAnsi="等线" w:eastAsia="宋体" w:cs="Times New Roman"/>
                <w:b/>
              </w:rPr>
              <w:t>名称</w:t>
            </w:r>
          </w:p>
        </w:tc>
        <w:tc>
          <w:tcPr>
            <w:tcW w:w="988" w:type="dxa"/>
            <w:tcBorders>
              <w:bottom w:val="single" w:color="000000" w:themeColor="text1" w:sz="12" w:space="0"/>
            </w:tcBorders>
            <w:shd w:val="clear" w:color="auto" w:fill="auto"/>
            <w:noWrap/>
            <w:vAlign w:val="center"/>
          </w:tcPr>
          <w:p>
            <w:pPr>
              <w:jc w:val="center"/>
              <w:rPr>
                <w:rFonts w:ascii="Times New Roman" w:hAnsi="Times New Roman" w:eastAsia="宋体" w:cs="Times New Roman"/>
                <w:b/>
              </w:rPr>
            </w:pPr>
            <w:r>
              <w:rPr>
                <w:rFonts w:hint="eastAsia" w:ascii="Times New Roman" w:hAnsi="等线" w:eastAsia="宋体" w:cs="Times New Roman"/>
                <w:b/>
              </w:rPr>
              <w:t>排名</w:t>
            </w:r>
          </w:p>
        </w:tc>
        <w:tc>
          <w:tcPr>
            <w:tcW w:w="1085" w:type="dxa"/>
            <w:tcBorders>
              <w:bottom w:val="single" w:color="000000" w:themeColor="text1" w:sz="12" w:space="0"/>
            </w:tcBorders>
            <w:shd w:val="clear" w:color="auto" w:fill="auto"/>
            <w:noWrap/>
            <w:vAlign w:val="center"/>
          </w:tcPr>
          <w:p>
            <w:pPr>
              <w:jc w:val="center"/>
              <w:rPr>
                <w:rFonts w:ascii="Times New Roman" w:hAnsi="Times New Roman" w:eastAsia="宋体" w:cs="Times New Roman"/>
                <w:b/>
              </w:rPr>
            </w:pPr>
            <w:r>
              <w:rPr>
                <w:rFonts w:hint="eastAsia" w:ascii="Times New Roman" w:hAnsi="等线" w:eastAsia="宋体" w:cs="Times New Roman"/>
                <w:b/>
              </w:rPr>
              <w:t>发文量</w:t>
            </w:r>
          </w:p>
        </w:tc>
        <w:tc>
          <w:tcPr>
            <w:tcW w:w="1272" w:type="dxa"/>
            <w:tcBorders>
              <w:bottom w:val="single" w:color="000000" w:themeColor="text1" w:sz="12" w:space="0"/>
            </w:tcBorders>
            <w:shd w:val="clear" w:color="auto" w:fill="auto"/>
            <w:noWrap/>
            <w:vAlign w:val="center"/>
          </w:tcPr>
          <w:p>
            <w:pPr>
              <w:jc w:val="center"/>
              <w:rPr>
                <w:rFonts w:ascii="Times New Roman" w:hAnsi="Times New Roman" w:eastAsia="宋体" w:cs="Times New Roman"/>
                <w:b/>
              </w:rPr>
            </w:pPr>
            <w:r>
              <w:rPr>
                <w:rFonts w:hint="eastAsia" w:ascii="Times New Roman" w:hAnsi="等线" w:eastAsia="宋体" w:cs="Times New Roman"/>
                <w:b/>
              </w:rPr>
              <w:t>被引频次</w:t>
            </w:r>
          </w:p>
        </w:tc>
        <w:tc>
          <w:tcPr>
            <w:tcW w:w="876" w:type="dxa"/>
            <w:tcBorders>
              <w:bottom w:val="single" w:color="000000" w:themeColor="text1" w:sz="12" w:space="0"/>
            </w:tcBorders>
            <w:shd w:val="clear" w:color="auto" w:fill="auto"/>
            <w:noWrap/>
            <w:vAlign w:val="center"/>
          </w:tcPr>
          <w:p>
            <w:pPr>
              <w:jc w:val="center"/>
              <w:rPr>
                <w:rFonts w:ascii="Times New Roman" w:hAnsi="Times New Roman" w:eastAsia="宋体" w:cs="Times New Roman"/>
                <w:b/>
              </w:rPr>
            </w:pPr>
            <w:r>
              <w:rPr>
                <w:rFonts w:hint="eastAsia" w:ascii="Times New Roman" w:hAnsi="Times New Roman" w:eastAsia="宋体" w:cs="Times New Roman"/>
                <w:b/>
              </w:rPr>
              <w:t>CNCI</w:t>
            </w:r>
          </w:p>
        </w:tc>
        <w:tc>
          <w:tcPr>
            <w:tcW w:w="1453" w:type="dxa"/>
            <w:tcBorders>
              <w:bottom w:val="single" w:color="000000" w:themeColor="text1" w:sz="12" w:space="0"/>
            </w:tcBorders>
            <w:shd w:val="clear" w:color="auto" w:fill="auto"/>
            <w:noWrap/>
            <w:vAlign w:val="center"/>
          </w:tcPr>
          <w:p>
            <w:pPr>
              <w:jc w:val="center"/>
              <w:rPr>
                <w:rFonts w:ascii="Times New Roman" w:hAnsi="Times New Roman" w:eastAsia="宋体" w:cs="Times New Roman"/>
                <w:b/>
              </w:rPr>
            </w:pPr>
            <w:r>
              <w:rPr>
                <w:rFonts w:hint="eastAsia" w:ascii="Times New Roman" w:hAnsi="等线" w:eastAsia="宋体" w:cs="Times New Roman"/>
                <w:b/>
              </w:rPr>
              <w:t>高被引论文</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op w:val="single" w:color="000000" w:themeColor="text1" w:sz="12" w:space="0"/>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青岛科技大学</w:t>
            </w:r>
          </w:p>
        </w:tc>
        <w:tc>
          <w:tcPr>
            <w:tcW w:w="988" w:type="dxa"/>
            <w:tcBorders>
              <w:top w:val="single" w:color="000000" w:themeColor="text1" w:sz="12" w:space="0"/>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w:t>
            </w:r>
          </w:p>
        </w:tc>
        <w:tc>
          <w:tcPr>
            <w:tcW w:w="1085" w:type="dxa"/>
            <w:tcBorders>
              <w:top w:val="single" w:color="000000" w:themeColor="text1" w:sz="12" w:space="0"/>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5591</w:t>
            </w:r>
          </w:p>
        </w:tc>
        <w:tc>
          <w:tcPr>
            <w:tcW w:w="1272" w:type="dxa"/>
            <w:tcBorders>
              <w:top w:val="single" w:color="000000" w:themeColor="text1" w:sz="12" w:space="0"/>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94900</w:t>
            </w:r>
          </w:p>
        </w:tc>
        <w:tc>
          <w:tcPr>
            <w:tcW w:w="876" w:type="dxa"/>
            <w:tcBorders>
              <w:top w:val="single" w:color="000000" w:themeColor="text1" w:sz="12" w:space="0"/>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1.27</w:t>
            </w:r>
          </w:p>
        </w:tc>
        <w:tc>
          <w:tcPr>
            <w:tcW w:w="1453" w:type="dxa"/>
            <w:tcBorders>
              <w:top w:val="single" w:color="000000" w:themeColor="text1" w:sz="12" w:space="0"/>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69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济南大学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3864</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83117</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1.36</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39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青岛大学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3</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3257</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69019</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1.85</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110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山东科技大学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4</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2427</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57192</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1.70</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72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山东师范大学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5</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2500</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56525</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1.59</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57</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齐鲁工业大学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6</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3064</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41918</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1.14</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24</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曲阜师范大学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7</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1914</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41644</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1.36</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聊城大学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8</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2253</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32929</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1.15</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24</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山东理工大学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9</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1700</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23085</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1.00</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8</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烟台大学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10</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1651</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23008</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1.18</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19</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青岛农业大学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11</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1028</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22053</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1.54</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22</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山东农业大学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12</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1064</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17284</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1.11</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7</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临沂大学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13</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879</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13896</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1.03</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10</w:t>
            </w:r>
          </w:p>
        </w:tc>
      </w:tr>
      <w:tr>
        <w:tblPrEx>
          <w:tblBorders>
            <w:top w:val="single" w:color="000000" w:themeColor="text1" w:sz="12" w:space="0"/>
            <w:left w:val="none" w:color="auto" w:sz="0" w:space="0"/>
            <w:bottom w:val="single" w:color="000000" w:themeColor="text1"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991"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山东第一医科大学</w:t>
            </w:r>
          </w:p>
        </w:tc>
        <w:tc>
          <w:tcPr>
            <w:tcW w:w="988"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14</w:t>
            </w:r>
          </w:p>
        </w:tc>
        <w:tc>
          <w:tcPr>
            <w:tcW w:w="1085"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963</w:t>
            </w:r>
          </w:p>
        </w:tc>
        <w:tc>
          <w:tcPr>
            <w:tcW w:w="1272"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12586</w:t>
            </w:r>
          </w:p>
        </w:tc>
        <w:tc>
          <w:tcPr>
            <w:tcW w:w="876"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0.94</w:t>
            </w:r>
          </w:p>
        </w:tc>
        <w:tc>
          <w:tcPr>
            <w:tcW w:w="1453" w:type="dxa"/>
            <w:tcBorders>
              <w:tl2br w:val="nil"/>
              <w:tr2bl w:val="nil"/>
            </w:tcBorders>
            <w:shd w:val="clear" w:color="auto" w:fill="auto"/>
            <w:noWrap/>
            <w:vAlign w:val="center"/>
          </w:tcPr>
          <w:p>
            <w:pPr>
              <w:jc w:val="center"/>
              <w:rPr>
                <w:rFonts w:ascii="宋体" w:hAnsi="宋体" w:eastAsia="宋体" w:cs="宋体"/>
                <w:color w:val="000000"/>
                <w:sz w:val="22"/>
              </w:rPr>
            </w:pPr>
            <w:r>
              <w:rPr>
                <w:rFonts w:hint="eastAsia"/>
                <w:color w:val="000000"/>
                <w:sz w:val="22"/>
              </w:rPr>
              <w:t>5</w:t>
            </w:r>
          </w:p>
        </w:tc>
      </w:tr>
    </w:tbl>
    <w:p>
      <w:pPr>
        <w:spacing w:line="360" w:lineRule="auto"/>
        <w:rPr>
          <w:rFonts w:ascii="Times New Roman" w:hAnsi="Times New Roman" w:eastAsia="宋体" w:cs="Times New Roman"/>
          <w:sz w:val="18"/>
        </w:rPr>
      </w:pPr>
      <w:r>
        <w:rPr>
          <w:rFonts w:hint="eastAsia" w:ascii="Times New Roman" w:hAnsi="Times New Roman" w:eastAsia="宋体" w:cs="Times New Roman"/>
          <w:color w:val="000000"/>
          <w:sz w:val="18"/>
          <w:szCs w:val="21"/>
        </w:rPr>
        <w:t>注：表中数据均来自InCites数据库2023年6月30日更新</w:t>
      </w:r>
      <w:r>
        <w:rPr>
          <w:rFonts w:ascii="Times New Roman" w:hAnsi="Times New Roman" w:eastAsia="宋体" w:cs="Times New Roman"/>
          <w:color w:val="000000"/>
          <w:sz w:val="18"/>
          <w:szCs w:val="21"/>
        </w:rPr>
        <w:t>数据</w:t>
      </w:r>
    </w:p>
    <w:p>
      <w:pPr>
        <w:spacing w:line="360" w:lineRule="auto"/>
        <w:ind w:firstLine="426"/>
        <w:rPr>
          <w:rFonts w:ascii="Times New Roman" w:hAnsi="Times New Roman" w:eastAsia="宋体" w:cs="Times New Roman"/>
          <w:sz w:val="24"/>
          <w:szCs w:val="24"/>
        </w:rPr>
      </w:pPr>
      <w:r>
        <w:rPr>
          <w:rFonts w:hint="eastAsia" w:ascii="Times New Roman" w:hAnsi="Times New Roman" w:eastAsia="宋体" w:cs="Times New Roman"/>
          <w:sz w:val="24"/>
          <w:szCs w:val="24"/>
        </w:rPr>
        <w:t>学科规范化的引文影响力（CNCI）是通过其实际被引次数除以同文献类型、同出版年、同学科领域文献的期望被引次数获得的。CNCI是一个无偏的影响力指标，它排除了出版年、学科领域与文献类型的影响。如果CNCI的值等于1，说明该组论文的被引表现</w:t>
      </w:r>
      <w:bookmarkStart w:id="10" w:name="OLE_LINK13"/>
      <w:bookmarkStart w:id="11" w:name="OLE_LINK12"/>
      <w:r>
        <w:rPr>
          <w:rFonts w:hint="eastAsia" w:ascii="Times New Roman" w:hAnsi="Times New Roman" w:eastAsia="宋体" w:cs="Times New Roman"/>
          <w:sz w:val="24"/>
          <w:szCs w:val="24"/>
        </w:rPr>
        <w:t>与全球平均水平</w:t>
      </w:r>
      <w:bookmarkEnd w:id="10"/>
      <w:bookmarkEnd w:id="11"/>
      <w:r>
        <w:rPr>
          <w:rFonts w:hint="eastAsia" w:ascii="Times New Roman" w:hAnsi="Times New Roman" w:eastAsia="宋体" w:cs="Times New Roman"/>
          <w:sz w:val="24"/>
          <w:szCs w:val="24"/>
        </w:rPr>
        <w:t>相当；CNCI大于1表明该组论文的被引表现高于全球平均水平；小于1，则低于全球平均水平。CNCI等于2，表明该组论文的平均被引表现为全球平均水平的2倍。图5-1显示了</w:t>
      </w:r>
      <w:r>
        <w:rPr>
          <w:rFonts w:hint="eastAsia" w:ascii="Times New Roman" w:hAnsi="Times New Roman" w:eastAsia="宋体"/>
          <w:sz w:val="24"/>
          <w:szCs w:val="24"/>
        </w:rPr>
        <w:t>14</w:t>
      </w:r>
      <w:r>
        <w:rPr>
          <w:rFonts w:ascii="Times New Roman" w:eastAsia="宋体"/>
          <w:sz w:val="24"/>
          <w:szCs w:val="24"/>
        </w:rPr>
        <w:t>所高校发表的</w:t>
      </w:r>
      <w:r>
        <w:rPr>
          <w:rFonts w:hint="eastAsia" w:ascii="宋体" w:hAnsi="宋体" w:eastAsia="宋体" w:cs="宋体"/>
          <w:sz w:val="24"/>
          <w:szCs w:val="24"/>
        </w:rPr>
        <w:t>“化学”</w:t>
      </w:r>
      <w:r>
        <w:rPr>
          <w:rFonts w:ascii="Times New Roman" w:eastAsia="宋体"/>
          <w:sz w:val="24"/>
          <w:szCs w:val="24"/>
        </w:rPr>
        <w:t>学科所有论文的</w:t>
      </w:r>
      <w:r>
        <w:rPr>
          <w:rFonts w:ascii="Times New Roman" w:hAnsi="Times New Roman" w:eastAsia="宋体"/>
          <w:sz w:val="24"/>
          <w:szCs w:val="24"/>
        </w:rPr>
        <w:t>CNCI</w:t>
      </w:r>
      <w:r>
        <w:rPr>
          <w:rFonts w:ascii="Times New Roman" w:eastAsia="宋体"/>
          <w:sz w:val="24"/>
          <w:szCs w:val="24"/>
        </w:rPr>
        <w:t>值及其与全球平均水平的比较</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其中，济南大学、青岛科技大学和青岛大学等1</w:t>
      </w:r>
      <w:r>
        <w:rPr>
          <w:rFonts w:hint="eastAsia" w:ascii="Times New Roman" w:hAnsi="Times New Roman" w:eastAsia="宋体" w:cs="Times New Roman"/>
          <w:sz w:val="24"/>
          <w:szCs w:val="24"/>
        </w:rPr>
        <w:t>3</w:t>
      </w:r>
      <w:r>
        <w:rPr>
          <w:rFonts w:ascii="Times New Roman" w:hAnsi="Times New Roman" w:eastAsia="宋体" w:cs="Times New Roman"/>
          <w:sz w:val="24"/>
          <w:szCs w:val="24"/>
        </w:rPr>
        <w:t>所高校的CNCI值大于1，说明这些学校</w:t>
      </w:r>
      <w:r>
        <w:rPr>
          <w:rFonts w:hint="eastAsia" w:ascii="Times New Roman" w:hAnsi="Times New Roman" w:eastAsia="宋体" w:cs="宋体"/>
          <w:sz w:val="24"/>
          <w:szCs w:val="24"/>
        </w:rPr>
        <w:t>“</w:t>
      </w:r>
      <w:r>
        <w:rPr>
          <w:rFonts w:hint="eastAsia" w:ascii="Times New Roman" w:hAnsi="宋体" w:eastAsia="宋体" w:cs="宋体"/>
          <w:sz w:val="24"/>
          <w:szCs w:val="24"/>
        </w:rPr>
        <w:t>化学</w:t>
      </w:r>
      <w:r>
        <w:rPr>
          <w:rFonts w:hint="eastAsia" w:ascii="Times New Roman" w:hAnsi="Times New Roman" w:eastAsia="宋体" w:cs="宋体"/>
          <w:sz w:val="24"/>
          <w:szCs w:val="24"/>
        </w:rPr>
        <w:t>”</w:t>
      </w:r>
      <w:r>
        <w:rPr>
          <w:rFonts w:hint="eastAsia" w:ascii="Times New Roman" w:hAnsi="宋体" w:eastAsia="宋体" w:cs="宋体"/>
          <w:sz w:val="24"/>
          <w:szCs w:val="24"/>
        </w:rPr>
        <w:t>学</w:t>
      </w:r>
      <w:r>
        <w:rPr>
          <w:rFonts w:ascii="Times New Roman" w:hAnsi="Times New Roman" w:eastAsia="宋体" w:cs="Times New Roman"/>
          <w:sz w:val="24"/>
          <w:szCs w:val="24"/>
        </w:rPr>
        <w:t>科论文的平均被引表现高于全球平均水平。我校</w:t>
      </w:r>
      <w:r>
        <w:rPr>
          <w:rFonts w:hint="eastAsia" w:ascii="Times New Roman" w:hAnsi="Times New Roman" w:eastAsia="宋体" w:cs="宋体"/>
          <w:sz w:val="24"/>
          <w:szCs w:val="24"/>
        </w:rPr>
        <w:t>“</w:t>
      </w:r>
      <w:r>
        <w:rPr>
          <w:rFonts w:hint="eastAsia" w:ascii="Times New Roman" w:hAnsi="宋体" w:eastAsia="宋体" w:cs="宋体"/>
          <w:sz w:val="24"/>
          <w:szCs w:val="24"/>
        </w:rPr>
        <w:t>化学</w:t>
      </w:r>
      <w:r>
        <w:rPr>
          <w:rFonts w:hint="eastAsia" w:ascii="Times New Roman" w:hAnsi="Times New Roman" w:eastAsia="宋体" w:cs="宋体"/>
          <w:sz w:val="24"/>
          <w:szCs w:val="24"/>
        </w:rPr>
        <w:t>”</w:t>
      </w:r>
      <w:r>
        <w:rPr>
          <w:rFonts w:ascii="Times New Roman" w:hAnsi="Times New Roman" w:eastAsia="宋体" w:cs="Times New Roman"/>
          <w:sz w:val="24"/>
          <w:szCs w:val="24"/>
        </w:rPr>
        <w:t>学科规范化的引文影响力（CNCI）为1.2</w:t>
      </w:r>
      <w:r>
        <w:rPr>
          <w:rFonts w:hint="eastAsia" w:ascii="Times New Roman" w:hAnsi="Times New Roman" w:eastAsia="宋体" w:cs="Times New Roman"/>
          <w:sz w:val="24"/>
          <w:szCs w:val="24"/>
          <w:lang w:val="en-US" w:eastAsia="zh-CN"/>
        </w:rPr>
        <w:t>7</w:t>
      </w:r>
      <w:bookmarkStart w:id="12" w:name="_GoBack"/>
      <w:bookmarkEnd w:id="12"/>
      <w:r>
        <w:rPr>
          <w:rFonts w:ascii="Times New Roman" w:hAnsi="Times New Roman" w:eastAsia="宋体" w:cs="Times New Roman"/>
          <w:sz w:val="24"/>
          <w:szCs w:val="24"/>
        </w:rPr>
        <w:t>，</w:t>
      </w:r>
      <w:r>
        <w:rPr>
          <w:rFonts w:hint="eastAsia" w:ascii="Times New Roman" w:hAnsi="Times New Roman" w:eastAsia="宋体" w:cs="Times New Roman"/>
          <w:b/>
          <w:sz w:val="24"/>
          <w:szCs w:val="24"/>
        </w:rPr>
        <w:t>在</w:t>
      </w:r>
      <w:r>
        <w:rPr>
          <w:rFonts w:ascii="Times New Roman" w:hAnsi="Times New Roman" w:eastAsia="宋体" w:cs="Times New Roman"/>
          <w:b/>
          <w:sz w:val="24"/>
          <w:szCs w:val="24"/>
        </w:rPr>
        <w:t>14</w:t>
      </w:r>
      <w:r>
        <w:rPr>
          <w:rFonts w:hint="eastAsia" w:ascii="Times New Roman" w:hAnsi="Times New Roman" w:eastAsia="宋体" w:cs="Times New Roman"/>
          <w:b/>
          <w:sz w:val="24"/>
          <w:szCs w:val="24"/>
        </w:rPr>
        <w:t>所高校中排名第</w:t>
      </w:r>
      <w:r>
        <w:rPr>
          <w:rFonts w:ascii="Times New Roman" w:hAnsi="Times New Roman" w:eastAsia="宋体" w:cs="Times New Roman"/>
          <w:b/>
          <w:sz w:val="24"/>
          <w:szCs w:val="24"/>
        </w:rPr>
        <w:t>7</w:t>
      </w:r>
      <w:r>
        <w:rPr>
          <w:rFonts w:ascii="Times New Roman" w:hAnsi="Times New Roman" w:eastAsia="宋体" w:cs="Times New Roman"/>
          <w:sz w:val="24"/>
          <w:szCs w:val="24"/>
        </w:rPr>
        <w:t>，说明我校</w:t>
      </w:r>
      <w:r>
        <w:rPr>
          <w:rFonts w:hint="eastAsia" w:ascii="宋体" w:hAnsi="宋体" w:eastAsia="宋体" w:cs="宋体"/>
          <w:sz w:val="24"/>
          <w:szCs w:val="24"/>
        </w:rPr>
        <w:t>“化学”</w:t>
      </w:r>
      <w:r>
        <w:rPr>
          <w:rFonts w:ascii="Times New Roman" w:hAnsi="Times New Roman" w:eastAsia="宋体" w:cs="Times New Roman"/>
          <w:sz w:val="24"/>
          <w:szCs w:val="24"/>
        </w:rPr>
        <w:t>的论文质量高于全球平均水平，</w:t>
      </w:r>
      <w:r>
        <w:rPr>
          <w:rFonts w:hint="eastAsia" w:ascii="Times New Roman" w:hAnsi="Times New Roman" w:eastAsia="宋体" w:cs="Times New Roman"/>
          <w:b/>
          <w:sz w:val="24"/>
          <w:szCs w:val="24"/>
        </w:rPr>
        <w:t>在省属高校中处于中等水平</w:t>
      </w:r>
      <w:r>
        <w:rPr>
          <w:rFonts w:ascii="Times New Roman" w:hAnsi="Times New Roman" w:eastAsia="宋体" w:cs="Times New Roman"/>
          <w:sz w:val="24"/>
          <w:szCs w:val="24"/>
        </w:rPr>
        <w:t>。</w:t>
      </w:r>
    </w:p>
    <w:p>
      <w:pPr>
        <w:adjustRightInd w:val="0"/>
        <w:snapToGrid w:val="0"/>
        <w:jc w:val="center"/>
        <w:rPr>
          <w:rFonts w:ascii="Times New Roman" w:hAnsi="Times New Roman" w:eastAsia="宋体" w:cs="Times New Roman"/>
          <w:bCs/>
          <w:sz w:val="18"/>
          <w:szCs w:val="18"/>
        </w:rPr>
      </w:pPr>
      <w:r>
        <w:rPr>
          <w:rFonts w:ascii="Times New Roman" w:hAnsi="Times New Roman" w:eastAsia="宋体" w:cs="Times New Roman"/>
          <w:bCs/>
          <w:sz w:val="18"/>
          <w:szCs w:val="18"/>
        </w:rPr>
        <w:drawing>
          <wp:inline distT="0" distB="0" distL="0" distR="0">
            <wp:extent cx="5692140" cy="3241040"/>
            <wp:effectExtent l="19050" t="0" r="22462" b="0"/>
            <wp:docPr id="12"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adjustRightInd w:val="0"/>
        <w:snapToGrid w:val="0"/>
        <w:jc w:val="center"/>
        <w:rPr>
          <w:rFonts w:ascii="Times New Roman" w:hAnsi="Times New Roman" w:eastAsia="宋体" w:cs="Times New Roman"/>
          <w:bCs/>
          <w:sz w:val="18"/>
          <w:szCs w:val="18"/>
        </w:rPr>
      </w:pPr>
      <w:r>
        <w:rPr>
          <w:rFonts w:hint="eastAsia" w:ascii="Times New Roman" w:hAnsi="宋体" w:eastAsia="宋体" w:cs="Times New Roman"/>
          <w:bCs/>
          <w:sz w:val="18"/>
          <w:szCs w:val="18"/>
        </w:rPr>
        <w:t>图</w:t>
      </w:r>
      <w:r>
        <w:rPr>
          <w:rFonts w:hint="eastAsia" w:ascii="Times New Roman" w:hAnsi="Times New Roman" w:eastAsia="宋体" w:cs="Times New Roman"/>
          <w:bCs/>
          <w:sz w:val="18"/>
          <w:szCs w:val="18"/>
        </w:rPr>
        <w:t xml:space="preserve">5-1 </w:t>
      </w:r>
      <w:r>
        <w:rPr>
          <w:rFonts w:hint="eastAsia" w:ascii="Times New Roman" w:hAnsi="宋体" w:eastAsia="宋体" w:cs="Times New Roman"/>
          <w:bCs/>
          <w:sz w:val="18"/>
          <w:szCs w:val="18"/>
        </w:rPr>
        <w:t>省属</w:t>
      </w:r>
      <w:r>
        <w:rPr>
          <w:rFonts w:hint="eastAsia" w:ascii="Times New Roman" w:hAnsi="Times New Roman" w:eastAsia="宋体" w:cs="Times New Roman"/>
          <w:bCs/>
          <w:sz w:val="18"/>
          <w:szCs w:val="18"/>
        </w:rPr>
        <w:t>14</w:t>
      </w:r>
      <w:r>
        <w:rPr>
          <w:rFonts w:hint="eastAsia" w:ascii="Times New Roman" w:hAnsi="宋体" w:eastAsia="宋体" w:cs="Times New Roman"/>
          <w:bCs/>
          <w:sz w:val="18"/>
          <w:szCs w:val="18"/>
        </w:rPr>
        <w:t>所高校</w:t>
      </w:r>
      <w:r>
        <w:rPr>
          <w:rFonts w:hint="eastAsia" w:ascii="Times New Roman" w:hAnsi="Times New Roman" w:eastAsia="宋体" w:cs="Times New Roman"/>
          <w:bCs/>
          <w:sz w:val="18"/>
          <w:szCs w:val="18"/>
        </w:rPr>
        <w:t>ESI</w:t>
      </w:r>
      <w:r>
        <w:rPr>
          <w:rFonts w:hint="eastAsia" w:ascii="Times New Roman" w:hAnsi="宋体" w:eastAsia="宋体" w:cs="Times New Roman"/>
          <w:bCs/>
          <w:sz w:val="18"/>
          <w:szCs w:val="18"/>
        </w:rPr>
        <w:t>化学学科规范化的引文影响力对比（</w:t>
      </w:r>
      <w:r>
        <w:rPr>
          <w:rFonts w:hint="eastAsia" w:ascii="Times New Roman" w:hAnsi="Times New Roman" w:eastAsia="宋体" w:cs="Times New Roman"/>
          <w:bCs/>
          <w:sz w:val="18"/>
          <w:szCs w:val="18"/>
        </w:rPr>
        <w:t>CNCI</w:t>
      </w:r>
      <w:r>
        <w:rPr>
          <w:rFonts w:hint="eastAsia" w:ascii="Times New Roman" w:hAnsi="宋体" w:eastAsia="宋体" w:cs="Times New Roman"/>
          <w:bCs/>
          <w:sz w:val="18"/>
          <w:szCs w:val="18"/>
        </w:rPr>
        <w:t>）</w:t>
      </w:r>
    </w:p>
    <w:p>
      <w:pPr>
        <w:jc w:val="center"/>
        <w:rPr>
          <w:rFonts w:ascii="Times New Roman" w:hAnsi="Times New Roman" w:eastAsia="宋体" w:cs="Times New Roman"/>
          <w:b/>
          <w:szCs w:val="24"/>
        </w:rPr>
      </w:pPr>
    </w:p>
    <w:p>
      <w:pPr>
        <w:jc w:val="center"/>
        <w:rPr>
          <w:rFonts w:ascii="Times New Roman" w:hAnsi="Times New Roman" w:eastAsia="宋体" w:cs="Times New Roman"/>
          <w:b/>
          <w:szCs w:val="24"/>
        </w:rPr>
      </w:pPr>
    </w:p>
    <w:p>
      <w:pPr>
        <w:jc w:val="center"/>
        <w:rPr>
          <w:rFonts w:ascii="Times New Roman" w:hAnsi="Times New Roman" w:eastAsia="宋体" w:cs="Times New Roman"/>
          <w:b/>
          <w:szCs w:val="24"/>
        </w:rPr>
      </w:pPr>
    </w:p>
    <w:p>
      <w:pPr>
        <w:jc w:val="center"/>
        <w:rPr>
          <w:rFonts w:ascii="Times New Roman" w:hAnsi="Times New Roman" w:eastAsia="宋体" w:cs="Times New Roman"/>
          <w:b/>
          <w:szCs w:val="24"/>
        </w:rPr>
      </w:pPr>
    </w:p>
    <w:p>
      <w:pPr>
        <w:jc w:val="center"/>
        <w:rPr>
          <w:rFonts w:ascii="Times New Roman" w:hAnsi="Times New Roman" w:eastAsia="宋体" w:cs="Times New Roman"/>
          <w:b/>
          <w:szCs w:val="24"/>
        </w:rPr>
      </w:pPr>
    </w:p>
    <w:p>
      <w:pPr>
        <w:jc w:val="center"/>
        <w:rPr>
          <w:rFonts w:ascii="Times New Roman" w:hAnsi="Times New Roman" w:eastAsia="宋体" w:cs="Times New Roman"/>
          <w:b/>
          <w:szCs w:val="24"/>
        </w:rPr>
      </w:pPr>
    </w:p>
    <w:p>
      <w:pPr>
        <w:jc w:val="center"/>
        <w:rPr>
          <w:rFonts w:ascii="Times New Roman" w:hAnsi="Times New Roman" w:eastAsia="宋体" w:cs="Times New Roman"/>
          <w:b/>
          <w:szCs w:val="24"/>
        </w:rPr>
      </w:pPr>
    </w:p>
    <w:p>
      <w:pPr>
        <w:jc w:val="center"/>
        <w:rPr>
          <w:rFonts w:ascii="Times New Roman" w:hAnsi="Times New Roman" w:eastAsia="宋体" w:cs="Times New Roman"/>
          <w:b/>
          <w:szCs w:val="24"/>
        </w:rPr>
      </w:pPr>
    </w:p>
    <w:p>
      <w:pPr>
        <w:jc w:val="center"/>
        <w:rPr>
          <w:rFonts w:ascii="Times New Roman" w:hAnsi="Times New Roman" w:eastAsia="宋体" w:cs="Times New Roman"/>
          <w:b/>
          <w:szCs w:val="24"/>
        </w:rPr>
      </w:pPr>
    </w:p>
    <w:p>
      <w:pPr>
        <w:jc w:val="center"/>
        <w:rPr>
          <w:rFonts w:ascii="Times New Roman" w:hAnsi="Times New Roman" w:eastAsia="宋体" w:cs="Times New Roman"/>
          <w:b/>
          <w:szCs w:val="24"/>
        </w:rPr>
      </w:pPr>
    </w:p>
    <w:p>
      <w:pPr>
        <w:pStyle w:val="3"/>
        <w:numPr>
          <w:ilvl w:val="0"/>
          <w:numId w:val="2"/>
        </w:numPr>
        <w:spacing w:after="0"/>
        <w:jc w:val="left"/>
        <w:rPr>
          <w:rFonts w:ascii="Times New Roman" w:hAnsi="Times New Roman" w:eastAsia="宋体" w:cs="Times New Roman"/>
        </w:rPr>
      </w:pPr>
      <w:r>
        <w:rPr>
          <w:rFonts w:hint="eastAsia" w:ascii="Times New Roman" w:hAnsi="Times New Roman" w:eastAsia="宋体" w:cs="Times New Roman"/>
        </w:rPr>
        <w:t>我校ESI化学高被引论文（</w:t>
      </w:r>
      <w:r>
        <w:rPr>
          <w:rFonts w:ascii="Times New Roman" w:hAnsi="Times New Roman" w:eastAsia="宋体" w:cs="Times New Roman"/>
        </w:rPr>
        <w:t>2023.</w:t>
      </w:r>
      <w:r>
        <w:rPr>
          <w:rFonts w:hint="eastAsia" w:ascii="Times New Roman" w:hAnsi="Times New Roman" w:eastAsia="宋体" w:cs="Times New Roman"/>
        </w:rPr>
        <w:t>7更新数据）</w:t>
      </w:r>
    </w:p>
    <w:p>
      <w:pPr>
        <w:pStyle w:val="5"/>
        <w:tabs>
          <w:tab w:val="left" w:pos="567"/>
        </w:tabs>
        <w:spacing w:after="240" w:line="30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ESI高被引论文 (共</w:t>
      </w:r>
      <w:r>
        <w:rPr>
          <w:rFonts w:hint="eastAsia" w:ascii="Times New Roman" w:hAnsi="Times New Roman" w:eastAsia="宋体" w:cs="Times New Roman"/>
          <w:b/>
          <w:bCs/>
          <w:sz w:val="24"/>
          <w:szCs w:val="24"/>
        </w:rPr>
        <w:t>68</w:t>
      </w:r>
      <w:r>
        <w:rPr>
          <w:rFonts w:ascii="Times New Roman" w:hAnsi="Times New Roman" w:eastAsia="宋体" w:cs="Times New Roman"/>
          <w:b/>
          <w:bCs/>
          <w:sz w:val="24"/>
          <w:szCs w:val="24"/>
        </w:rPr>
        <w:t>篇)</w: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Carbon nanotube bridged nickel hexacyanoferrate architecture for high-performance hybrid capacitive deionization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Xu, LM (Xu, Liming); Ding, ZB (Ding, Zibiao); Chen, YY (Chen, Yaoyu); Xu, XT (Xu, Xingtao); Liu, Y (Liu, Yong); Li, JB (Li, Jiabao); Lu, T (Lu, Ting); Pan, LK (Pan, Likun)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JOURNAL OF COLLOID AND INTERFACE SCIENCE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630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372-381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10.1016/j.jcis.2022.10.140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NOV 2022   </w:t>
            </w:r>
            <w:r>
              <w:rPr>
                <w:rFonts w:hint="eastAsia" w:ascii="微软雅黑" w:hAnsi="微软雅黑" w:eastAsia="微软雅黑" w:cs="宋体"/>
                <w:b/>
                <w:bCs/>
                <w:kern w:val="0"/>
                <w:sz w:val="18"/>
                <w:szCs w:val="18"/>
              </w:rPr>
              <w:t>子辑:</w:t>
            </w:r>
            <w:r>
              <w:rPr>
                <w:rFonts w:hint="eastAsia" w:ascii="微软雅黑" w:hAnsi="微软雅黑" w:eastAsia="微软雅黑" w:cs="宋体"/>
                <w:kern w:val="0"/>
                <w:sz w:val="18"/>
                <w:szCs w:val="18"/>
              </w:rPr>
              <w:t> B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15 2023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Although widely used as hybrid capacitive deionization (HCDI) electrode material, the low intrinsic conductivity of metal hexacyanometalate (MHCF) severely hinders the fast insertion/extraction of Na+ in/ from its 3D framework structure, damaging its desalination performance. Herein, we design a carbon nanotube (CNT) bridged nickel hexacyanoferrate architecture (NiHCF). The highly conductive CNT not only acts as the skeleton for the uniform growth of NiHCF to provide more ion-accessible surface and active sites but also serves as the conductive bridge to connect the NiHCF particles, which prevents the agglomeration of NiHCF particles and facilitates the charge transfer and ion diffusion during the desalination process. Therefore, the HCDI cell assembled by NiHCF/CNT cathode and AC anode exhibits an excellent desalination performance with a high desalination capacity of 29.1 mg g (1) and a superior desalination rate of 7.2 mg g (1) min (1) in 500 mg L (1) NaCl solution. This work provides a facile method for preparing high-performance MHCF-based electrodes for desalination application. (c) 2022 Elsevier Inc. All rights reserved.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WOS:000893818200002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[Xu, Liming; Ding, Zibiao; Chen, Yaoyu; Lu, Ting; Pan, Likun] East China Normal Univ, Shanghai Key Lab Magnet Resonance, Sch Phys &amp; Elect Sci, Shanghai 200241,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Xingtao] Zhejiang Ocean Univ, Marine Sci &amp; Technol Coll, Zhoushan 316022, Zhejiang,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Xingtao] Natl Inst Mat Sci, Int Ctr Mat Nanoarchitecton WPI MANA, I-1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Yong] Qingdao Univ Sci &amp; Technol, Sch Mat Sci &amp;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Jiabao] Yangzhou Univ, Sch Chem &amp; Chem Engn, Yangzhou 225002, Jiangsu,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Pan, LK (通讯作者)，East China Normal Univ, Shanghai Key Lab Magnet Resonance, Sch Phys &amp; Elect Sci, Shanghai 200241,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XT (通讯作者)，Zhejiang Ocean Univ, Marine Sci &amp; Technol Coll, Zhoushan 316022, Zhejiang,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XT (通讯作者)，Natl Inst Mat Sci, Int Ctr Mat Nanoarchitecton WPI MANA, I-1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Y (通讯作者)，Qingdao Univ Sci &amp; Technol, Sch Mat Sci &amp; Engn,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XU.Xingtao@nims.go.jp; yong.liu@qust.edu.cn; lkpan@phy.ecnu.edu.cn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0021-9797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1095-7103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25"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Dual-doping NiMoO4 with multi-channel structure enable urea-assisted energy-saving H2 production at large current density in alkaline seawater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Guo, LL (Guo, Lili); Chi, JQ (Chi, Jingqi); Zhu, JW (Zhu, Jiawei); Cui, T (Cui, Tong); Lai, JP (Lai, Jianping); Wang, L (Wang, Lei)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APPLIED CATALYSIS B-ENVIRONMENTAL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320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121977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10.1016/j.apcatb.2022.121977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SEP 2022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2023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Seawater electrolysis is an efficient method for producing carbon-neutral hydrogen; however, it is hindered by high energy cost and chlorine evolution reaction. In this study, we report Ru, P dual-doped NiMoO4 multichannel nanorods in-situ grown on nickel foam (Ru/P-NiMoO4 @NF), which can achieve chlorine-free hydrogen production by coupling seawater splitting with thermodynamically favorable urea oxidation. The Ru/P-NiMoO4 @NF exhibits bifunctional activity with working potentials of 0.23 V to deliver 3000 mA cm-2 for HER and 1.46 V to deliver 1000 mA cm-2 for UOR. The overall urea splitting system in the two-electrode electrolyzer require low voltage of 1.73 V to drive 500 mA cm-2, and demonstrate remarkable durability to keep above 100 mA cm-2 for 145 h. Density functional theory calculations reveal that dual-doping modulate the D-band center of catalyst, thus enhancing the adsorption of reactants and intermediates. This work provides information for designing catalysts for combing seawater splitting with urea purification.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WOS:000870284700005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[Guo, Lili; Chi, Jingqi; Zhu, Jiawei; Cui, Tong; Lai, Jianping; Wang, Lei] Qingdao Univ Sci &amp; Technol, Coll Chem &amp; Mol Engn, Key Lab Ecochem Engn, Minist Educ,Int Sci &amp; Technol Cooperat Base Ecoche,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[Chi, Jingqi; Zhu, Jiawei] Qingdao Univ Sci &amp; Technol, Coll 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Lei] Qingdao Univ Sci &amp; Technol, Coll Environm &amp; Safety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Chi, JQ; Wang, L (通讯作者)，Qingdao Univ Sci &amp; Technol, Coll Chem &amp; Mol Engn, Key Lab Ecochem Engn, Minist Educ,Int Sci &amp; Technol Cooperat Base Ecoche,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chijingqi@qust.edu.cn; inorchemwl@126.com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Engineering, Environmental;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0926-3373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1873-3883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26"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Monitoring intracellular pH using a hemicyanine-based ratiometric fluorescent probe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Xue, XL (Xue, Xiao-Lei); Wang, Y (Wang, Yang); Chen, SJ (Chen, Shaojin); Wang, KP (Wang, Kun-Peng); Niu, SY (Niu, Shu-Yan); Zong, QS (Zong, Qian-Shou); Jiang, Y (Jiang, Yi); Hu, ZQ (Hu, Zhi-Qiang)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SPECTROCHIMICA ACTA PART A-MOLECULAR AND BIOMOLECULAR SPECTROSCOPY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284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121778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10.1016/j.saa.2022.121778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AUG 2022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5 2023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Monitoring intracellular pH using ratiometric fluorescent probes can provide further insights into various biological processes including many diseases. Although ratiometric fluorescent probes with dual emission can efficiently exclude interferences (probe concentration, instrumental efficiency, and environmental conditions) compared with traditional off-on fluorescent probes, development of pH-responsive fluorescent probes with dual emission remains relatively unexplored and challenging. Herein we reported a new hemicyanine-based ratio-metric fluorescent probe 1 with a hydroxyl group. The probe 1 exhibits dual emission and shows a real-time and selective fluorescence response to micro-environmental pH conditions in a range of 6.0 similar to 8.0. Further studies revealed that 1 could exclusively enter and accumulate into mitochondria and monitor the pH microenvironmental conditions through fluorescence imaging in HepG2 cells. We suggest that this probe might be used as a probe to elucidate the role of pH in many physiological processes.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WOS:000875167200003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[Xue, Xiao-Lei; Wang, Yang; Chen, Shaojin; Wang, Kun-Peng; Niu, Shu-Yan; Hu, Zhi-Qiang] Qingdao Univ Sci &amp; Technol, Coll Chem &amp; Mol Engn, Minist Educ, Key Lab Ecochem Engn,Key Lab Sensor Anal Tumor Mar,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[Zong, Qian-Shou] Jiaxing Univ, Coll Biol Chem Sci &amp; Engn, Jiaxing 314001,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[Jiang, Yi] Donghua Univ, Coll Mat Sci &amp; Engn, State Key Lab Modificat Chem Fibers &amp; Polymer Mat, Shanghai 201620,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Hu, ZQ (通讯作者)，Qingdao Univ Sci &amp; Technol, Coll Chem &amp; Mol Engn, Minist Educ, Key Lab Ecochem Engn,Key Lab Sensor Anal Tumor Mar,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Zong, QS (通讯作者)，Jiaxing Univ, Coll Biol Chem Sci &amp; Engn, Jiaxing 314001,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Jiang, Y (通讯作者)，Donghua Univ, Coll Mat Sci &amp; Engn, State Key Lab Modificat Chem Fibers &amp; Polymer Mat, Shanghai 201620,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zongqianshou@iccas.ac.cn; jiangyi@iccas.ac.cn; huzhiqiang@qust.edu.cn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Spectroscopy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Spectroscopy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1386-1425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1873-3557</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27"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Carbon-sulfur bond formation via photochemical strategies: An efficient method for the synthesis of sulfur-containing compounds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Yang, DS (Yang, Daoshan); Yan, QL (Yan, Qiuli); Zhu, EJ (Zhu, Enjie); Lv, J (Lv, Jian); He, WM (He, Wei-Min)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CHINESE CHEMICAL LETTERS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33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4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1798-1816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10.1016/j.cclet.2021.09.068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APR 2022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45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46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development of green and convenient methods for C-S bond formation has received significant attention because C-S bond widely occurs in many important pharmaceutical and biological compounds. Recently, visible-light photoredox catalysis has been established as an efficient and general tool for the construction of C-C and C-heteroatom bonds. In this review, we have focused on the research on recent advances in C-S bond formation via visible-light photoredox catalysis, and the growing opportunities they present to the construction of complex chemical scaffolds for applications encompassing bioactive molecules synthesis, synthetic methodology development, and sulfur-containing drugs. We hope that this review will provide chemists with a synthetic tool that will open the door to further development of organsulfur chemistry (C) 2021 Published by Elsevier B.V. on behalf of Chinese Chemical Society and Institute of Materia Medica, Chinese Academy of Medical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WOS:000789375500016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[Yang, Daoshan; Yan, Qiuli; Zhu, Enjie; Lv, Jian] Qingdao Univ Sci &amp; Technol, Coll Chem &amp; Mol Engn, Key Lab Opt Elect Sensing &amp; Analyt Chem Life Sci, State Key Lab Base Ecochem Engn,MOE,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[He, Wei-Min] Univ South China, Sch Chem &amp; Chem Engn, Hengyang 421001,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Yang, DS (通讯作者)，Qingdao Univ Sci &amp; Technol, Coll Chem &amp; Mol Engn, Key Lab Opt Elect Sensing &amp; Analyt Chem Life Sci, State Key Lab Base Ecochem Engn,MOE,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He, WM (通讯作者)，Univ South China, Sch Chem &amp; Chem Engn, Hengyang 421001,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yangdaoshan@tsinghua.org.cn; weiminhe2016@yeah.net</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1001-8417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1878-5964</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28"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Oxygen Engineering Enables N-Doped Porous Carbon Nanofibers as Oxygen Reduction/Evolution Reaction Electrocatalysts for Flexible Zinc-Air Batteries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Qiang, FQ (Qiang, Fuqiang); Feng, JG (Feng, Jianguang); Wang, HL (Wang, Huanlei); Yu, JH (Yu, Jianhua); Shi, J (Shi, Jing); Huang, MH (Huang, Minghua); Shi, ZC (Shi, Zhicheng); Liu, S (Liu, Shuai); Li, P (Li, Ping); Dong, LF (Dong, Lifeng)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ACS CATALYSIS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12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7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4002-4015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10.1021/acscatal.2c00164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1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34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33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Controllable designing of heteroatom-doped carboncatalysts provides an insightful strategy for boosting the perform-ance and kinetics of the oxygen reduction/evolution reaction(ORR/OER). However, the role of oxygen species is usuallyomitted. Herein, a facile oxygen engineering strategy is proposed totune the oxygen species in N-doped porous carbon nanofibers(NPCNFs-O) via a facile electrospinning method, in which beta-cyclodextrin acts as the pore inducer and oxygen regulator.Benefitting from the large specific surface area and synergistic effectof N,O codoping, the NPCNF-O catalyst exhibits superior ORR(E1/2= 0.85 V vs reversible hydrogen electrode (RHE)) and OER(Ej=10= 1.556 V vs RHE) activities with excellent stability. Bothexperimental and theoretical calculations verify the crucial role ofcarboxyl groups, which regulate the local charge density and reduce the reaction energy barrier for enhancing the oxygenelectrocatalytic activity. Moreover, a rechargeable zinc-air battery using NPCNF-O as the air cathode demonstrates a maximumpower density of 125.1 mW cm-2and long-term durability. Importantly, NPCNF-O can be served as an integrated freestandingelectrode for portable zinc-air batteries. The work brings brilliant fundamental insights for constructing efficient metal-free carbonmaterial catalysts for future energy conversion and storage systems.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WOS:000784255800026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[Qiang, Fuqiang; Wang, Huanlei; Shi, Jing; Huang, Minghua; Shi, Zhicheng; Liu, Shuai; Li, Ping] Ocean Univ China, Sch Mat Sci &amp; Engn, Qingdao 266100,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[Feng, Jianguang; Yu, Jianhua; Dong, Lifeng] Qingdao Univ Sci &amp; Technol, Coll Mat Sci &amp;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Wang, HL; Li, P (通讯作者)，Ocean Univ China, Sch Mat Sci &amp; Engn, Qingdao 266100,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Dong, LF (通讯作者)，Qingdao Univ Sci &amp; Technol, Coll Mat Sci &amp;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huanleiwang@gmail.com; chemlipingest@163.com; DongLifeng@qust.edu.cn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2155-5435</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29"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6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Atomic-precision Pt-6 nanoclusters for enhanced hydrogen electro-oxidation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Wang, XN (Wang, Xiaoning); Zhao, LM (Zhao, Lianming); Li, XJ (Li, Xuejin); Liu, Y (Liu, Yong); Wang, YS (Wang, Yesheng); Yao, QF (Yao, Qiaofeng); Xie, JP (Xie, Jianping); Xue, QZ (Xue, Qingzhong); Yan, ZF (Yan, Zifeng); Yuan, X (Yuan, Xun); Xing, W (Xing, Wei)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COMMUNICATIONS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13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1596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10.1038/s41467-022-29276-7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MAR 24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36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36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discord between the insufficient abundance and the excellent electrocatalytic activity of Pt urgently requires its atomic-level engineering for minimal Pt dosage yet maximized electrocatalytic performance. Here we report the design of ultrasmall triphenylphosphine-stabilized Pt-6 nanoclusters for electrocatalytic hydrogen oxidation reaction in alkaline solution. Benefiting from the self-optimized ligand effect and atomic-precision structure, the nanocluster electrocatalyst demonstrates a high mass activity, a high stability, and outperforms both Pt single atoms and Pt nanoparticle analogues, uncovering an unexpected size optimization principle for designing Pt electrocatalysts. Moreover, the nanocluster electrocatalyst delivers a high CO-tolerant ability that conventional Pt/C catalyst lacks. Theoretical calculations confirm that the enhanced electrocatalytic performance is attributable to the bifold effects of the triphenylphosphine ligand, which can not only tune the formation of atomically precise platinum nanoclusters, but also shift the d-band center of Pt atoms for favorable adsorption kinetics of *H, *OH, and CO.</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While Pt is an active fuel cell catalyst, it's low abundance and high cost spurs research into boosting performances from lesser Pt amounts. Here, authors design atomically precise triphenylphosphine-stabilized Pt nanoclusters with high activities and durabilities for electrocatalytic H-2 oxidation.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WOS:000773001900005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Xiaoning; Zhao, Lianming; Li, Xuejin; Wang, Yesheng; Xue, Qingzhong; Yan, Zifeng; Xing, Wei] China Univ Petr, State Key Lab Heavy Oil Proc, Qingdao 266580,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Yong; Yuan, Xun] Qingdao Univ Sci &amp; Technol, Sch Mat Sci &amp;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[Yao, Qiaofeng; Xie, Jianping] Natl Univ Singapore, Dept Chem &amp; Biomol Engn, 4 Engn Dr 4, Singapore 117585, Singapore.</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[Yao, Qiaofeng; Xie, Jianping] Tianjin Univ, Joint Sch Natl Univ Singapore &amp; Tianjin Univ, Int Campus, Fuzhou 350207,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Xing, W (通讯作者)，China Univ Petr, State Key Lab Heavy Oil Proc, Qingdao 266580,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Yuan, X (通讯作者)，Qingdao Univ Sci &amp; Technol, Sch Mat Sci &amp;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yuanxun@qust.edu.cn; xingwei@upc.edu.cn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Multidisciplinary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2041-1723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30"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7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Fabrication of highly efficient phenylphosphorylated chitosan bio-based flame retardants for flammable PLA biomaterial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Ma, XB (Ma, Xiaobing); Wu, NJ (Wu, Ningjing); Liu, PB (Liu, Pengbo); Cui, HL (Cui, Hongli)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CARBOHYDRATE POLYMERS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287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119317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10.1016/j.carbpol.2022.119317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MAR 2022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JUL 1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Modified chitosan (CS)-based flame retardants exhibit promising prospects owing to their sustainability, biodegradability, and good charring properties. A series of novel modified-CS bio-based flame retardants (phenylphosphorylated CS (PhPCS) and phenylphosphoramidated CS (PhPNCS)) were prepared by the phosphorylation and phosphoramidation reactions of CS with phenylphosphoryl dichloride and tetraethylenepentamine, respectively. Bio-based PhPCS and PhPNCS exhibited excellent flame retardancy efficiency for poly(lactic acid) (PLA). The limited oxygen index (LOI) values of the PLA/3 wt% PhPCS and PLA/3 wt% PhPNCS biocomposites increased to 29% and 27%, respectively, and they both achieved a V-0 rating during the UL-94 vertical combustion test. However, the mechanical properties of the PLA/PhPCS biocomposites decreased with increasing PhPCS content. The mechanical strengths of the PLA/PhPNCS biocomposites were better than those of the PLA/PhPCS biocomposites owing to the reactive compatibilization of the interface between the amino and carboxyl end groups of the PhPNCS nanoparticles and PLA matrix, respectively.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WOS:000820859200004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[Ma, Xiaobing; Wu, Ningjing; Liu, Pengbo; Cui, Hongli] Qingdao Univ Sci &amp; Technol, Key Lab Rubber Plast, Minist Educ, Shandong Prov Key Lab Rubber Plast,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Wu, NJ (通讯作者)，Qingdao Univ Sci &amp; Technol, Key Lab Rubber Plast, Minist Educ, Shandong Prov Key Lab Rubber Plast,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ningjing_wu@qust.edu.cn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Applied; Chemistry, Organic; Polymer Science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Polymer Science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0144-8617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1879-1344</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31"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8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The synergistic effect of Hf-O-Ru bonds and oxygen vacancies in Ru/HfO2 for enhanced hydrogen evolution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 GK (Li, Guangkai); Jang, H (Jang, Haeseong); Liu, SG (Liu, Shangguo); Li, ZJ (Li, Zijian); Kim, MG (Kim, Min Gyu); Qin, Q (Qin, Qing); Liu, X (Liu, Xien); Cho, J (Cho, Jaephil)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COMMUNICATIONS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13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1270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10.1038/s41467-022-28947-9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MAR 11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59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60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Ru nanoparticles have been demonstrated to be highly active electrocatalysts for the hydrogen evolution reaction (HER). At present, most of Ru nanoparticles-based HER electrocatalysts with high activity are supported by heteroatom-doped carbon substrates. Few metal oxides with large band gap (more than 5 eV) as the substrates of Ru nanoparticles are employed for the HER. By using large band gap metal oxides substrates, we can distinguish the contribution of Ru nanoparticles from the substrates. Here, a highly efficient Ru/HfO2 composite is developed by tuning numbers of Ru-O-Hf bonds and oxygen vacancies, resulting in a 20-fold enhancement in mass activity over commercial Pt/C in an alkaline medium. Density functional theory (DFT) calculations reveal that strong metal-support interaction via Ru-O-Hf bonds and the oxygen vacancies in the supported Ru samples synergistically lower the energy barrier for water dissociation to improve catalytic activities.</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Although ruthenium nanomaterials have proven to be effective catalysts for H-2 evolution, there is still room for activity improvements. Here, authors develop an efficient Ru/HfO2 electrocatalyst with tuned Ru-O-Hf bonds and oxygen vacancies that shows high activities for alkaline H-2 evolution.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WOS:000767892300014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 Guangkai; Liu, Shangguo; Qin, Qing; Liu, Xien] Qingdao Univ Sci &amp; Technol, Coll Chem Engn, Qingdao,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[Jang, Haeseong; Cho, Jaephil] Ulsan Natl Inst Sci &amp; Technol UNIST, Dept Energy Engn, Dept Energy &amp; Chem Engn, Ulsan, South Korea.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Zijian] City Univ Hong Kong, Dept Chem, Hong Kong,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Min Gyu] Pohang Accelerator Lab PAL, Beamline Res Div, Pohang,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Qin, Q; Liu, X (通讯作者)，Qingdao Univ Sci &amp; Technol, Coll Chem Engn, Qingdao,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Cho, J (通讯作者)，Ulsan Natl Inst Sci &amp; Technol UNIST, Dept Energy Engn, Dept Energy &amp; Chem Engn, Ulsan,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qinqing@qust.edu.cn; liuxien@qust.edu.cn; jpcho@unist.ac.kr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Multidisciplinary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2041-1723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32"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9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Ligand Modification of Au-25 Nanoclusters for Near-Infrared Photocatalytic Oxidative Functionalization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Wang, SX (Wang, Shuxin); Tang, L (Tang, Li); Cai, BG (Cai, Baogui); Yin, ZM (Yin, Zhengmao); Li, YF (Li, Yangfeng); Xiong, L (Xiong, Lin); Kang, X (Kang, Xi); Xuan, J (Xuan, Jun); Pei, Y (Pei, Yong); Zhu, MZ (Zhu, Manzhou)</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JOURNAL OF THE AMERICAN CHEMICAL SOCIETY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144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9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3787-3792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10.1021/jacs.2c01570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MAR 9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inorganic-organic interface between metal catalysts and their substrates greatly influences reaction processes, but few studies of this interface have been conducted for a detailed understanding of its structure. Herein, we describe the synthesis and structural determination of an arylthiolated Au-25(F-Ph)(18)(-) nanocluster and characterize in detail the key roles of its ligands in photocatalyzed oxidative functionalization reactions. The most significant findings are that (i) interactions are established between ligands to avoid distortion of the geometric structure, limit the Jahn-Teller effect, and protect the nanocluster from oxidization and (ii) the low energy gap (HOMO-LUMO) of the synthetic clusters enables three types of photocatalytic oxidative functionalization reactions by near-infrared light (850 nm).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WOS:000772185500006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Shuxin; Tang, Li; Cai, Baogui; Li, Yangfeng; Kang, Xi; Xuan, Jun; Zhu, Manzhou] Anhui Univ, Dept Chem, Hefei 230601, Anhui,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Shuxin; Tang, Li; Cai, Baogui; Li, Yangfeng; Kang, Xi; Xuan, Jun; Zhu, Manzhou] Anhui Univ, Ctr Atom Engn Adv Mat, Hefei 230601, Anhui,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Shuxin; Tang, Li; Yin, Zhengmao] Qingdao Univ Sci &amp; Technol, Coll Mat Sci &amp;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[Xiong, Lin; Pei, Yong] Xiangtan Univ, Dept Chem, Key Lab Environm Friendly Chem &amp; Applicat, Minist Educ, Xiangtan 211105, Hunan,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Wang, SX; Xuan, J; Zhu, MZ (通讯作者)，Anhui Univ, Dept Chem, Hefei 230601, Anhui,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SX; Xuan, J; Zhu, MZ (通讯作者)，Anhui Univ, Ctr Atom Engn Adv Mat, Hefei 230601, Anhui,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SX (通讯作者)，Qingdao Univ Sci &amp; Technol, Coll Mat Sci &amp; Engn,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shuxin_wang@qust.edu.cn; xuanjun@ahu.edu.cn; zmz@ahu.edu.cn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0002-7863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1520-5126</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33"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10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Phosphorus doped two-dimensional CoFe2O4 nanobelts decorated with Ru nanoclusters and Co-Fe hydroxide as efficient electrocatalysts toward hydrogen generation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Yu, WL (Yu, Wenli); Chen, Z (Chen, Zhi); Xiao, WP (Xiao, Weiping); Chai, YM (Chai, Yongming); Dong, B (Dong, Bin); Wu, ZX (Wu, Zexing); Wang, L (Wang, Lei)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INORGANIC CHEMISTRY FRONTIERS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9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8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1847-1855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10.1039/d2qi00086e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MAR 2022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12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Developing efficient and durable hydrogen evolution reaction (HER) electrocatalysts has attracted considerable attention for large-scale hydrogen generation. In this work, phosphorus doped two-dimensional (2D) CoFe2O4 nanobelts decorated with Ru and CoFe hydroxide clusters on iron foam (IF) (CoFeOxHy-Ru/P-CoFe2O4/IF) are synthesized via a solvothermal method followed by phosphorization procedures. The specific nanobelt morphology favors the exposure of active sites, advantageous electron transportation and intimate contact between the electrolyte and electrocatalyst. Interestingly, abundant metal hydroxide nanosheets are in situ generated on the nanobelt after the phosphorized sample is immersed in an alkaline electrolyte. Benefiting from the above merits, the developed CoFeOxHy-Ru/P-CoFe2O4/IF presents excellent electrocatalytic performances for the HER with low overpotentials of 38.6 mV, 43.2 mV, and 30.1 mV to attain 50 mA cm(-2) and 54.4 mV, 71.5 mV, and 69.3 mV to attain 100 mA cm(-2) in 1 M KOH, 1 M KOH seawater and 1 M PBS, respectively. As for overall water splitting, a cell voltage as low as 1.49 V is necessary to attain 10 mA cm(-2) and the developed CoFeOxHy-Ru/P-CoFe2O4/IF also exhibits excellent long-term stability. This work provides a new avenue for designing efficient HER catalysts with high exposure of precious metals.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WOS:000768369500001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[Yu, Wenli; Chai, Yongming; Dong, Bin] China Univ Petr East China, Coll Sci, State Key Lab Heavy Oil Proc, Qingdao 266580,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[Chen, Zhi; Wu, Zexing; Wang, Lei] Qingdao Univ Sci &amp; Technol, Coll Chem &amp; Mol Engn, Key Lab Ecochem Engn,Minist Educ, Lab Inorgan Synth &amp; Appl Chem,Taishan Scholar Adv,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[Xiao, Weiping] Nanjing Forestry Univ, Coll Sci, Nanjing 210037,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Zexing] Nankai Univ, Coll Chem, Key Lab Adv Energy Mat Chem, Minist Educ, Tianjin 300071,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Dong, B (通讯作者)，China Univ Petr East China, Coll Sci, State Key Lab Heavy Oil Proc, Qingdao 266580,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ZX (通讯作者)，Qingdao Univ Sci &amp; Technol, Coll Chem &amp; Mol Engn, Key Lab Ecochem Engn,Minist Educ, Lab Inorgan Synth &amp; Appl Chem,Taishan Scholar Adv,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ZX (通讯作者)，Nankai Univ, Coll Chem, Key Lab Adv Energy Mat Chem, Minist Educ, Tianjin 300071,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ymchai@upc.edu.cn; dongbin@upc.edu.cn; splswzx@qust.edu.cn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Inorganic &amp; Nuclear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2052-1553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34"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11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Metal-organic framework-derived multifunctional photocatalysts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Zhang, YP (Zhang, Yaping); Xu, JX (Xu, Jixiang); Zhou, J (Zhou, Jie); Wang, L (Wang, Lei)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CHINESE JOURNAL OF CATALYSIS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43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4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971-1000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10.1016/S1872-2067(21)63934-7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FEB 2022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Metal-organic framework (MOF)-derived nanomaterials have attracted widespread attention, because the excellent features, such as high surface area, porosity and tunable properties are inherited from MOFs. Moreover, the derivatives avoid the poor conductivity and stability of MOFs. MOF-derived nanomaterials can easily be regulated by a specific selection of metal nodes and organic linkers, resulting in multifunctionality in photocatalysis. MOF derivatives can be used not only as semiconductor photocatalysts, but also as co-catalysts for photocatalytic hydrogen evolution, CO2 reduction, pollutants degradation, etc. This review focuses on the multifunctional applications of MOF derivatives in the field of photocatalysis. The researches in recent years are analyzed and summarized from the aspects of preparation, modification and application of MOF derivatives. At the end of the review, the development and challenges of MOF derivatives applied in photocatalysis in the future are put forward, in order to provide more references for further research in this field and bring new inspiration. (C) 2022, Dalian Institute of Chemical Physics, Chinese Academy of Sciences. Published by Elsevier B.V. All rights reserved.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WOS:000766077100006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[Zhang, Yaping; Xu, Jixiang; Zhou, Jie; Wang, Lei] Qingdao Univ Sci &amp; Technol, State Key Lab Base Ecochem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Jixiang] Qingdao Univ Sci &amp; Technol, Coll Chem &amp; Mol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[Zhou, Jie; Wang, Lei] Qingdao Univ Sci &amp; Technol, Coll Environm &amp; Safety Engn,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Xu, JX; Wang, L (通讯作者)，Qingdao Univ Sci &amp; Technol, State Key Lab Base Ecochem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JX (通讯作者)，Qingdao Univ Sci &amp; Technol, Coll Chem &amp; Mol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L (通讯作者)，Qingdao Univ Sci &amp; Technol, Coll Environm &amp; Safety Engn,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xujix47@163.com; inorchemwl@126.com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Applied; Chemistry, Physical;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0253-9837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1872-2067</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35"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12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Rapid and Controlled Polymerization of Bio-sourced delta-Caprolactone toward Fully Recyclable Polyesters and Thermoplastic Elastomers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 CJ (Li, Changjian); Wang, LY (Wang, Liying); Yan, Q (Yan, Qin); Liu, FS (Liu, Fusheng); Shen, Y (Shen, Yong); Li, ZB (Li, Zhibo)</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ANGEWANDTE CHEMIE-INTERNATIONAL EDITION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61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16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e202201407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10.1002/anie.202201407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FEB 2022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11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33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34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development of chemically recyclable polymers presents the most appealing solution to address the plastics' end-of-use problem. Despite the recent advancements, it is highly desirable to develop chemically recyclable polymers from commercially available monomers to avoid the costly and time-consuming commercialization. In this contribution, we achieve the controlled ring-opening polymerization (ROP) of bio-sourced delta-caprolactone (delta CL) using strong base/urea binary catalysts. The obtained P delta CL is capable of chemical recycling to delta CL in an almost quantitative yield by thermolysis. Sequential ROP of delta CL and l-lactide (l-LA) affords well-defined PLLA-b-P delta CL-b-PLLA triblock copolymers, which behave as thermoplastic elastomers with excellent elastic recovery, tensile strength and ultimate elongation. The upcycling of PLLA-b-P delta CL-b-PLLA to recover ethyl lactate and delta CL with high yields is achieved by refluxing with ethanol and then distillation under reduced pressure.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WOS:000758275100001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 Changjian; Wang, Liying; Liu, Fusheng; Shen, Yong; Li, Zhibo] Qingdao Univ Sci &amp; Technol, Coll Chem Engn, State Key Lab Base Ecochem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[Yan, Qin; Li, Zhibo] Qingdao Univ Sci &amp; Technol, Coll Polymer Sci &amp; Engn, Shandong Prov Educ Dept, Key Lab Biobased Polymer Mat,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Shen, Y; Li, ZB (通讯作者)，Qingdao Univ Sci &amp; Technol, Coll Chem Engn, State Key Lab Base Ecochem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ZB (通讯作者)，Qingdao Univ Sci &amp; Technol, Coll Polymer Sci &amp; Engn, Shandong Prov Educ Dept, Key Lab Biobased Polymer Mat,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shenyong@qust.edu.cn; zbli@qust.edu.cn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1433-7851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1521-3773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36"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13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Ru-incorporated oxygen-vacancy-enriched MoO2 electrocatalysts for hydrogen evolution reaction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 C (Li, Chuang); Jang, H (Jang, Haeseong); Kim, MG (Kim, Min Gyu); Hou, LQ (Hou, Liqiang); Liu, X (Liu, Xien); Cho, J (Cho, Jaephil)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APPLIED CATALYSIS B-ENVIRONMENTAL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307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121204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10.1016/j.apcatb.2022.121204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FEB 2022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JUN 15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54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53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Designing highly efficient Pt-free electrocatalysts with low overpotential for the alkaline hydrogen evolution reaction (HER) remains a significant challenge. In this paper, we successfully construct Ru-incorporated oxygen-vacancy-enriched MoO2 nanosheets (Ru/MoO2_x) for the HER through a "one stone two birds " strategy. This strategy can solve two urgent problems simultaneously, the intrinsic electrochemical activity of original MoO2 is far from satisfactory and the H2O adsorption/dissociation abilities of Ru are weak. Specifically, the oxygen-vacancy-enriched MoO3 serves as an excellent platform for anchoring and trapping Ru ions. In-depth analyses indicate that the incorporation of Ru nanoclusters induces transition from MoO3 to MoO2, generates oxygen vacancies, and creates Ru-O-Mo sites. The synergistic effect of Ru nanoclusters, Ru-O-Mo sites and oxygen-vacancy-enriched MoO2 will endow the obtained catalyst excellent electrocatalytic activity. In particular, the optimal Ru/MoO2_x electrocatalyst delivered a low overpotential of 29 mV at 10 mA cm(_2) in a basic electrolyte.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WOS:000787898800002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 Chuang; Hou, Liqiang; Liu, Xien] Qingdao Univ Sci &amp; Technol, Coll Chem Engn, State Key Lab Based Ecochem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[Jang, Haeseong; Cho, Jaephil] Ulsan Natl Inst Sci &amp; Technol UNIST Ulsan, Dept Energy Engn, Dept Energy &amp; Chem Engn, Ulsan 44919, South Korea.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Min Gyu] Pohang Accelerator Lab PAL, Beamline Res Div, Pohang 37673,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Hou, LQ; Liu, X (通讯作者)，Qingdao Univ Sci &amp; Technol, Coll Chem Engn, State Key Lab Based Ecochem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Cho, J (通讯作者)，Ulsan Natl Inst Sci &amp; Technol UNIST Ulsan, Dept Energy Engn, Dept Energy &amp; Chem Engn, Ulsan 44919,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houliqiang@qust.edu.cn; liuxien@qust.edu.cn; jpcho@unist.ac.kr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Engineering, Environmental;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0926-3373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1873-3883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37"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14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Ultra-durable and highly-efficient hybrid capacitive deionization by MXene confined MoS2 heterostructure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Chen, ZQ (Chen, Zeqiu); Xu, XT (Xu, Xingtao); Liu, Y (Liu, Yong); Li, JF (Li, Junfeng); Wang, K (Wang, Kai); Ding, ZB (Ding, Zibiao); Meng, FY (Meng, Fanyue); Lu, T (Lu, Ting); Pan, LK (Pan, Likun)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DESALINATION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528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115616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10.1016/j.desal.2022.115616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FEB 2022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15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Capacitive deionization (CDI) is an emerging desalination technology, offering an advisable route to fetch clean water due to its low energy consumption and environmental friendliness. Hybrid CDI (HCDI), proceeding through a faradic ion storage mechanism, is thought as the next generation of CDI due to its high desalination capacity and charge efficiency. However, current HCDI system is plagued by its low desalination rate and poor long-term stability due to the structural instability of the faradic materials. Herein, we developed an effective strategy via combining 2D MoS2 nanoflakes with 2D MXene to construct a 3D "mutually supported" network architecture, in which MoS2 nanoflakes could act as the "pillar" of the intrinsic structure of MXene, while MXene could offer structural reinforcement to prevent the structural agrgregation and enhance the electrical conduc-tivity of the heterostructure. As a result, the HCDI system based on MoS2/MXene heterostructure electrode displays an outstanding desalination performance with a high desalination capacity of 23.98 mg g(-1), outstanding desalination rate of 4.6 mg g(-1) min(-1) and superior cycling stability with only 4% desalination capacity degradation for over 100 cycles, indicating that our strategy should be a promising approach to achieve highly efficient HCDI.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WOS:000821071700005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[Chen, Zeqiu; Wang, Kai; Ding, Zibiao; Meng, Fanyue; Lu, Ting; Pan, Likun] East China Normal Univ, Sch Phys &amp; Elect Sci, Shanghai Key Lab Magnet Resonance, Shanghai 200241,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Xingtao] Natl Inst Mat Sci, Int Ctr Mat Nanoarchitecton WPI MANA, 1-1 Narniki,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Yong] Qingdao Univ Sci &amp; Technol, Sch Mat Sci &amp;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Junfeng] Shanghai Maritime Univ, Coll Logist Engn, Shanghai 201306,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Pan, LK (通讯作者)，East China Normal Univ, Sch Phys &amp; Elect Sci, Shanghai Key Lab Magnet Resonance, Shanghai 200241,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XT (通讯作者)，Natl Inst Mat Sci, Int Ctr Mat Nanoarchitecton WPI MANA, 1-1 Narniki,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Y (通讯作者)，Qingdao Univ Sci &amp; Technol, Sch Mat Sci &amp; Engn,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XU.Xingtao@nims.go.jp; yong.liu@qust.edu.cn; lkpan@phy.ecnu.edu.cn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Engineering, Chemical; Water Resources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Engineering; Water Resources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0011-9164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1873-4464</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38"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15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Unravelling the synergy in platinum-nickel bimetal catalysts designed by atomic layer deposition for efficient hydrolytic dehydrogenation of ammonia borane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Zhang, JK (Zhang, Jiankang); Zheng, XH (Zheng, Xiuhui); Yu, WL (Yu, Wenlong); Feng, X (Feng, Xiang); Qin, Y (Qin, Yong)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APPLIED CATALYSIS B-ENVIRONMENTAL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306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121116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10.1016/j.apcatb.2022.121116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JAN 2022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JUN 5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Bimetal catalysis has been one of the major categories in heterogeneous catalysis field, and the efficient and durable catalysts can be well achieved by the bimetal synergy. Herein we report a remarkable achievement of both dehydrogenation activity of ammonia borane and durability by controllably engineering Pt-Ni interfacial sites via the Pt and the following NiO atomic layer deposition strategy, which can also realize the controllable synthesis of other Pt-M (M=Co, Cu, Fe and Zn) bimetal catalysts. Multiple characterization techniques, kinetic isotopic analyses and density functional theory calculations were employed to unravel the nature of the Pt-Ni synergy. Experimental and theoretical results reveal that the decoration of nickel species on the Pt nano particles constructing the targeted Pt-Ni interfacial sites could lower the reaction activation energy, promote the adsorption, activation and dissociation of H2O molecules, and facilitate the desorption of hydrogen atoms, resulting in the doubly enhanced activity with a turnover frequency value of 751.6 mol(H2) mol(Pt)(-1) min(-1) and the remarkably improved durability. Our work offers an alternative and general strategy for the rational design of bimetal catalysts with specific interfacial structure and provides fundamental guidance for in-depth understanding of the bimetal synergy.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WOS:000783858600002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[Zhang, Jiankang; Qin, Yong] Northwestern Polytech Univ, Interdisciplinary Res Ctr Biol &amp; Catalysis, Sch Life Sci, Xian 710072,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[Zheng, Xiuhui; Feng, Xiang] China Univ Petr, State Key Lab Heavy Oil Proc, Qingdao 266580,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[Yu, Wenlong] Qingdao Univ Sci &amp; Technol, State Key Lab Base Ecochem Engn, Coll 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[Qin, Yong] Chinese Acad Sci, State Key Lab Coal Convers, Inst Coal Chem, Taiyuan 030001,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Zhang, JK (通讯作者)，Northwestern Polytech Univ, Interdisciplinary Res Ctr Biol &amp; Catalysis, Sch Life Sci, Xian 710072,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Feng, X (通讯作者)，China Univ Petr, State Key Lab Heavy Oil Proc, Qingdao 266580,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zhangjiankang@nwpu.edu.cn; xiangfeng@upc.edu.cn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Engineering, Environmental;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0926-3373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1873-3883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39"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16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Facile construction of fully sp(2)-carbon conjugated two-dimensional covalent organic frameworks containing benzobisthiazole units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Wang, YC (Wang, Yuancheng); Hao, WB (Hao, Wenbo); Liu, H (Liu, Hui); Chen, RZ (Chen, Renzeng); Pan, QY (Pan, Qingyan); Li, ZB (Li, Zhibo); Zhao, YJ (Zhao, Yingjie)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COMMUNICATIONS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13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10.1038/s41467-021-27573-1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10 2022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50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Developing a facile strategy for the construction of vinylene-linked fully pi-conjugated covalent organic frameworks (COFs) remains a huge challenge. Here, a versatile condition of Knoevenagel polycondensation for constructing vinylene-linked 2D COFs was explored. Three new examples of vinylene-linked 2D COFs (BTH-1, 2, 3) containing benzobisthiazoles units as functional groups were successfully prepared under this versatile and mild condition. The electron-deficient benzobisthiazole units and cyano-vinylene linkages were both integrated into the pi conjugated COFs skeleton and acted as acceptor moieties. Interestingly, we found the construction of a highly ordered and conjugated D-A system is favorable for photocatalytic activity. BTH-3 with benzotrithiophene as the donor with a strong D-A effect exhibited an attractive photocatalytic HER of 15.1 mmol h(-1)g(-1) under visible light irradiation.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WOS:000829809500001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Yuancheng; Hao, Wenbo; Liu, Hui; Chen, Renzeng; Pan, Qingyan; Li, Zhibo; Zhao, Yingjie] Qingdao Univ Sci &amp; Technol, Coll Polymer Sci &amp;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Li, ZB; Zhao, YJ (通讯作者)，Qingdao Univ Sci &amp; Technol, Coll Polymer Sci &amp;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zbli@qust.edu.cn; yz@qust.edu.cn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Multidisciplinary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2041-1723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40"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17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Ether-Based Electrolyte Chemistry Towards High-Voltage and Long-Life Na-Ion Full Batteries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Liang, HJ (Liang, Hao-Jie); Gu, ZY (Gu, Zhen-Yi); Zhao, XX (Zhao, Xin-Xin); Guo, JZ (Guo, Jin-Zhi); Yang, JL (Yang, Jia-Lin); Li, WH (Li, Wen-Hao); Li, B (Li, Bao); Liu, ZM (Liu, Zhi-Ming); Li, WL (Li, Wen-Liang); Wu, XL (Wu, Xing-Long)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ANGEWANDTE CHEMIE-INTERNATIONAL EDITION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60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51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26837-26846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10.1002/anie.202112550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NOV 2021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DEC 13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87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88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Although ether-based electrolytes have been extensively applied in anode evaluation of batteries, anodic instability arising from solvent oxidability is always a tremendous obstacle to matching with high-voltage cathodes. Herein, by rational design for solvation configuration, the fully coordinated ether-based electrolyte with strong resistance against oxidation is reported, which remains anodically stable with high-voltage Na3V2(PO4)(2)O2F (NVPF) cathode under 4.5 V (versus Na+/Na) protected by an effective interphase. The assembled graphite//NVPF full cells display superior rate performance and unprecedented cycling stability. Beyond that, the constructed full cells coupling the high-voltage NVPF cathode with hard carbon anode exhibit outstanding electrochemical performances in terms of high average output voltage up to 3.72 V, long-term cycle life (such as 95 % capacity retention after 700 cycles) and high energy density (247 Wh kg(-1)). In short, the optimized ether-based electrolyte enriches systematic options, the ability to maintain oxidative stability and compatibility with various anodes, exhibiting attractive prospects for application.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WOS:000718392000001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[Liang, Hao-Jie; Gu, Zhen-Yi; Guo, Jin-Zhi; Yang, Jia-Lin; Li, Wen-Hao; Wu, Xing-Long] Northeast Normal Univ, MOE Key Lab UV Light Emitting Mat &amp; Technol, Changchun 130024, Jilin,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[Zhao, Xin-Xin; Li, Wen-Hao; Wu, Xing-Long] Northeast Normal Univ, Dept Chem, Changchun 130024, Jilin,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Bao] Henan Normal Univ, Sch Chem &amp; Chem Engn, Xinxiang 453007, Henan,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Zhi-Ming] Qingdao Univ Sci &amp; Technol, Qingdao 260061,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Wu, XL (通讯作者)，Northeast Normal Univ, MOE Key Lab UV Light Emitting Mat &amp; Technol, Changchun 130024, Jilin,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XL (通讯作者)，Northeast Normal Univ, Dept Chem, Changchun 130024, Jilin,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xinglong@nenu.edu.cn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1433-7851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1521-3773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41"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18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NiCo-Based Electrocatalysts for the Alkaline Oxygen Evolution Reaction: A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Zhang, YC (Zhang, Yong-Chao); Han, CD (Han, Caidi); Gao, J (Gao, Jian); Pan, L (Pan, Lun); Wu, JT (Wu, Jinting); Zhu, XD (Zhu, Xiao-Dong); Zou, JJ (Zou, Ji-Jun)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ACS CATALYSIS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11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20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12485-12509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10.1021/acscatal.1c03260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SEP 2021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OCT 15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120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116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Electrocatalytic water splitting is a sustainable way to produce hydrogen energy, but the oxygen evolution reaction (OER) at the anode has sluggish kinetics and low energy conversion efficiency, which is the major bottleneck for large-scale hydrogen production. The design and synthesis of robust and low-cost OER catalysts are crucial for the OER. NiCo-based electrocatalysts have suitable atomic and electronic structures, and show high activity and stability during the OER process. Recently, significant progress has been made in regulating the structure and composition of NiCo-based catalysts and understanding the nature of catalysis, especially the OER mechanism, catalytic active sites, and structure-activity relationship. In this work, we summarized and discussed the latest development of NiCo-based electrocatalysts in the OER, with particular emphasis on catalyst design and synthesis, strategies for boosting OER performance, and understanding the nature of catalysis from experimental and theoretical perspectives. The OER mechanism, some activity descriptors, and atomic and electronic structure-activity relationships based on NiCo-based electrocatalysts are unveiled. Finally, some challenges and futuristic outlooks for improving the performance of NiCo-based electrocatalysts are proposed, and we hope this review can provide guidance for the design of more efficient NiCo-based electrocatalysts.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WOS:000709692900008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[Zhang, Yong-Chao; Han, Caidi; Gao, Jian; Wu, Jinting; Zhu, Xiao-Dong] Qingdao Univ Sci &amp; Technol, State Key Lab Base Ecochem Cal Engn, Coll 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[Pan, Lun; Zou, Ji-Jun] Tianjin Univ, Key Lab Green Chem Technol, Minist Educ, Sch Chem Engn &amp; Technol, Tianjin 300072,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Zhu, XD (通讯作者)，Qingdao Univ Sci &amp; Technol, State Key Lab Base Ecochem Cal Engn, Coll 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Zou, JJ (通讯作者)，Tianjin Univ, Key Lab Green Chem Technol, Minist Educ, Sch Chem Engn &amp; Technol, Tianjin 300072,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xiao-dong_zhu@qust.edu.cn; JJ_Zou@tju.edu.cn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2155-5435</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42"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19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Sodium-Decorated Amorphous/Crystalline RuO2 with Rich Oxygen Vacancies: A Robust pH-Universal Oxygen Evolution Electrocatalyst</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Zhang, LJ (Zhang, Lijie); Jang, H (Jang, Haeseong); Liu, HH (Liu, Huihui); Kim, MG (Kim, Min Gyu); Yang, DJ (Yang, Dongjiang); Liu, SG (Liu, Shangguo); Liu, XE (Liu, Xien); Cho, J (Cho, Jaephil)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ANGEWANDTE CHEMIE-INTERNATIONAL EDITION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60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34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18821-18829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10.1002/anie.202106631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JUL 2021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AUG 16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182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183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oxygen evolution reaction (OER) is a key reaction for many electrochemical devices. To date, many OER electrocatalysts function well in alkaline media, but exhibit poor performances in neutral and acidic media, especially the acidic stability. Herein, sodium-decorated amorphous/crystalline RuO2 with rich oxygen vacancies (a/c-RuO2) was developed as a pH-universal OER electrocatalyst. The a/c-RuO2 shows remarkable resistance to acid corrosion and oxidation during OER, which leads to an extremely high catalytic stability, as confirmed by a negligible overpotential increase after continuously catalyzing OER for 60 h at pH=1. Besides, a/c-RuO2 also exhibits superior OER activities to commercial RuO2 and most reported OER catalysts under all pH conditions. Theoretical calculations indicated that the introduction of Na dopant and oxygen vacancy in RuO2 weakens the adsorption strength of the OER intermediates by engineering the d-band center, thereby lowering the energy barrier for OER.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WOS:000671874400001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[Zhang, Lijie; Liu, Huihui; Liu, Shangguo; Liu, Xien] Qingdao Univ Sci &amp; Technol, Coll Chem Engn, State Key Lab Based Ecochem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[Jang, Haeseong; Cho, Jaephil] Ulsan Natl Inst Sci &amp; Technol UNIST, Dept Energy Engn, Dept Energy &amp; Chem Engn, Ulsan 44919, South Korea.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Min Gyu] Pohang Accelerator Lab PAL, Beamline Res Div, Pohang 37673, South Korea.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[Yang, Dongjiang] Qingdao Univ, Sch Environm Sci &amp; Engn, Shandong Collaborat Innovat Ctr Marine Biomass Fi, Inst Marine Biobased Mat,State Key Lab Biofibers, Qingdao 266071,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Liu, SG; Liu, X (通讯作者)，Qingdao Univ Sci &amp; Technol, Coll Chem Engn, State Key Lab Based Ecochem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Cho, J (通讯作者)，Ulsan Natl Inst Sci &amp; Technol UNIST, Dept Energy Engn, Dept Energy &amp; Chem Engn, Ulsan 44919,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liusg@qust.edu.cn; liuxien@qust.edu.cn; jpcho@unist.ac.kr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1433-7851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1521-3773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43"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20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Interfacial chemical bond and internal electric field modulated Z-scheme S-v-ZnIn2S4/MoSe2 photocatalyst for efficient hydrogen evolution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Wang, XH (Wang, Xuehua); Wang, XH (Wang, Xianghu); Huang, JF (Huang, Jianfeng); Li, SX (Li, Shaoxiang); Meng, A (Meng, Alan); Li, ZJ (Li, Zhenjiang)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COMMUNICATIONS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12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4112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10.1038/s41467-021-24511-z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JUL 5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291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291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Construction of Z-scheme heterostructure is of great significance for realizing efficient photocatalytic water splitting. However, the conscious modulation of Z-scheme charge transfer is still a great challenge. Herein, interfacial Mo-S bond and internal electric field modulated Z-scheme heterostructure composed by sulfur vacancies-rich ZnIn2S4 and MoSe2 was rationally fabricated for efficient photocatalytic hydrogen evolution. Systematic investigations reveal that Mo-S bond and internal electric field induce the Z-scheme charge transfer mechanism as confirmed by the surface photovoltage spectra, DMPO spin-trapping electron paramagnetic resonance spectra and density functional theory calculations. Under the intense synergy among the Mo-S bond, internal electric field and S-vacancies, the optimized photocatalyst exhibits high hydrogen evolution rate of 63.21mmol.g(-1)h(-1) with an apparent quantum yield of 76.48% at 420nm monochromatic light, which is about 18.8-fold of the pristine ZIS. This work affords a useful inspiration on consciously modulating Z-scheme charge transfer by atomic-level interface control and internal electric field to signally promote the photocatalytic performance. The construction of Z-scheme heterostructures is of great significance for realizing efficient photocatalytic water splitting. Here, the authors report an interfacial chemical bond and internal electric field modulated Z-Scheme S-v-ZnIn2S4/MoSe2 photocatalyst for efficient hydrogen evolution.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WOS:000672713100001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Xuehua; Li, Zhenjiang] Qingdao Univ Sci &amp; Technol, Coll Mat Sci &amp; Engn, Qingdao,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Xianghu; Meng, Alan] Qingdao Univ Sci &amp; Technol, MOE Coll Chem &amp; Mol Engn, Key Lab Opt Elect Sensing &amp; Analyt Chem Life Sci, Qingdao,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[Huang, Jianfeng] Shaanxi Univ Sci &amp; Technol, Xian Key Lab Green Manufacture Ceram Mat, Sch Mat Sci &amp; Engn, Int S&amp;T Cooperat Fdn Shaanxi Prov, Xian,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Shaoxiang; Li, Zhenjiang] Qingdao Univ Sci &amp; Technol, Shandong Engn Technol Res Ctr Adv Coating, Qingdao,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Zhenjiang] Qingdao Univ Sci &amp; Technol, Coll Sino German Sci &amp; Technol, Qingdao,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Li, ZJ (通讯作者)，Qingdao Univ Sci &amp; Technol, Coll Mat Sci &amp; Engn, Qingdao,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Meng, A (通讯作者)，Qingdao Univ Sci &amp; Technol, MOE Coll Chem &amp; Mol Engn, Key Lab Opt Elect Sensing &amp; Analyt Chem Life Sci, Qingdao,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ZJ (通讯作者)，Qingdao Univ Sci &amp; Technol, Shandong Engn Technol Res Ctr Adv Coating, Qingdao,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ZJ (通讯作者)，Qingdao Univ Sci &amp; Technol, Coll Sino German Sci &amp; Technol, Qingdao,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alanmengqust@163.com; zhenjiangli@qust.edu.cn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Multidisciplinary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2041-1723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44"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21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Solvent-free microwave synthesis of ultra-small Ru-Mo2C@CNT with strong metal-support interaction for industrial hydrogen evolution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Wu, XK (Wu, Xueke); Wang, ZC (Wang, Zuochao); Zhang, D (Zhang, Dan); Qin, YN (Qin, Yingnan); Wang, MH (Wang, Minghui); Han, Y (Han, Yi); Zhan, TR (Zhan, Tianrong); Yang, B (Yang, Bo); Li, SX (Li, Shaoxiang); Lai, JP (Lai, Jianping); Wang, L (Wang, Lei)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COMMUNICATIONS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12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4018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10.1038/s41467-021-24322-2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JUN 29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103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104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Exploring a simple, fast, solvent-free synthetic method for large-scale preparation of cheap, highly active electrocatalysts for industrial hydrogen evolution reaction is one of the most promising work today. In this work, a simple, fast and solvent-free microwave pyrolysis method is used to synthesize ultra-small (3.5nm) Ru-Mo2C@CNT catalyst with heterogeneous structure and strong metal-support interaction in one step. The Ru-Mo2C@CNT catalyst only exhibits an overpotential of 15mV at a current density of 10mAcm(-2), and exhibits a large turnover frequency value up to 21.9s(-1) under an overpotential of 100mV in 1.0M KOH. In addition, this catalyst can reach high current densities of 500mAcm(-2) and 1000mAcm(-2) at low overpotentials of 56mV and 78mV respectively, and it displays high stability of 1000h. This work provides a feasible way for the reasonable design of other large-scale production catalysts. While H-2 could be a renewable fuel, the large-scale preparation of cheap, active electrocatalysts for large-scale production remains a challenge. Here, authors use a rapid, solvent-free microwave pyrolysis method to synthesize nanostructured catalysts for large-scale industrial H-2 production.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WOS:000671753200003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[Wu, Xueke; Wang, Zuochao; Zhang, Dan; Qin, Yingnan; Wang, Minghui; Han, Yi; Zhan, Tianrong; Lai, Jianping; Wang, Lei] Qingdao Univ Sci &amp; Technol, Coll Chem &amp; Mol Engn, Key Lab Ecochem Engn,Taishan Scholar Advantage &amp;, Key Lab Opt Elect Sensing &amp; Analyt Chem Life Sci, Qingdao,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[Zhang, Dan; Yang, Bo; Li, Shaoxiang; Wang, Lei] Qingdao Univ Sci &amp; Technol, Coll Environm &amp; Safety Engn, Shandong Engn Res Ctr Marine Environm Corros &amp; Sa, Qingdao,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Lai, JP; Wang, L (通讯作者)，Qingdao Univ Sci &amp; Technol, Coll Chem &amp; Mol Engn, Key Lab Ecochem Engn,Taishan Scholar Advantage &amp;, Key Lab Opt Elect Sensing &amp; Analyt Chem Life Sci, Qingdao,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L (通讯作者)，Qingdao Univ Sci &amp; Technol, Coll Environm &amp; Safety Engn, Shandong Engn Res Ctr Marine Environm Corros &amp; Sa, Qingdao,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jplai@qust.edu.cn; inorchemwl@126.com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Multidisciplinary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2041-1723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45"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22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Trifle Pt coupled with NiFe hydroxide synthesized via corrosion engineering to boost the cleavage of water molecule for alkaline water-splitting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Zhao, Y (Zhao, Ying); Gao, YX (Gao, Yuxiao); Chen, Z (Chen, Zhi); Li, ZJ (Li, Zhenjiang); Ma, TY (Ma, Tianyi); Wu, ZX (Wu, Zexing); Wang, L (Wang, Lei)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APPLIED CATALYSIS B-ENVIRONMENTAL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297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120395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10.1016/j.apcatb.2021.120395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MAY 2021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NOV 15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87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88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Developing cost-effective and highly efficient hydrogen evolution reaction (HER) and oxygen evolution reaction (OER) electrocatalysts with small overpotentials and superior long-term stabilities is imperative for catalyzing water electrolysis. Herein, corrosion engineering is applied to synthesize NiFe-LDH incorporating noble metals on a 3D porous Ni foam at room temperature to afford the NF-Na-Fe-Pt electrocatalyst. The optimized balance adsorption of hydroxyl ions and atomic hydrogen that are manifested by the synergism between NiFe-LDH and trifle noble metals endow the nanomaterial with an excellent electrocatalytic performance and long-term durability for mediating the water-splitting process in 1 M KOH. Only 31 and 261 mV are required to drive 10 mA cm-2 of the prepared NF-Na-Fe-Pt electrocatalyst for HER and OER, respectively. DFT calculations demonstrate that Pt and NiFe-LDH synergistically accelerate the Volmer reaction and adsorption/desorption of atomic H to enhance alkaline HER. Moreover, the NF-Na-Fe-Pt electrocatalyst also exhibit remarkable catalytic activity for water splitting.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WOS:000697777700001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[Zhao, Ying; Gao, Yuxiao; Chen, Zhi; Wu, Zexing; Wang, Lei] Qingdao Univ Sci &amp; Technol, Coll Chem &amp; Mol Engn, State Key Lab Base Ecochem Engn, 53 Zhengzhou Rd,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Zhenjiang] Qingdao Univ Sci &amp; Technol, Coll Mat Sci &amp; Engn, Coll Electromech Engn, Key Lab Polymer Mat Adv Mfg Technol Shandong Prov, Qingdao 266061,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[Ma, Tianyi] Swinburne Univ Technol, Fac Sci Engn &amp; Technol, Ctr Translat Atomat, John St, Hawthorn, Vic 3122, Australia.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Wu, ZX; Wang, L (通讯作者)，Qingdao Univ Sci &amp; Technol, Coll Chem &amp; Mol Engn, State Key Lab Base Ecochem Engn, 53 Zhengzhou Rd,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splswzx@qust.edu.cn; inorchemwl@126.com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Engineering, Environmental;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0926-3373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1873-3883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46"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23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Visible light photoredox-catalysed remote C-H functionalisation enabled by 1,5-hydrogen atom transfer (1,5-HAT)</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Guo, WS (Guo, Weisi); Wang, Q (Wang, Qian); Zhu, JP (Zhu, Jieping)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CHEMICAL SOCIETY REVIEWS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50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13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7359-7377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10.1039/d0cs00774a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MAY 2021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JUL 7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123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121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generation of heteroatom-centred radicals (X), followed by intramolecular 1,5-hydrogen atom transfer (1,5-HAT) and the functionalisation of the translocated carbon-centred radicals, is the basic mechanism of the classic Hofmann-Loffler-Freytag (HLF) reaction and the Barton reaction. The chemoselectivity of the 1,5-HAT process is different from that of the transition metal-catalysed counterpart, providing, therefore, a complementary tool for remote C(sp(3))-H bond functionalisation. There is a recent resurgence in this research field due to the emergence of visible light photocatalysis. This tutorial review summarises the recent progress in the remote functionalisation of C-H bonds featuring a key 1,5-HAT step with particular focus on photoredox-catalyzed remote C-H functionalisation.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WOS:000652557400001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[Guo, Weisi] Qingdao Univ Sci &amp; Technol, Coll Chem &amp; Mol Engn, 53 Zhengzhou Rd, Qingdao,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Qian; Zhu, Jieping] Ecole Polytech Fed Lausanne, Inst Chem Sci &amp; Engn, Lab Synth &amp; Nat Prod, EPFL SB ISIC LSPN, BCH 5304, CH-1015 Lausanne, Switzerland.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Guo, WS (通讯作者)，Qingdao Univ Sci &amp; Technol, Coll Chem &amp; Mol Engn, 53 Zhengzhou Rd, Qingdao,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Zhu, JP (通讯作者)，Ecole Polytech Fed Lausanne, Inst Chem Sci &amp; Engn, Lab Synth &amp; Nat Prod, EPFL SB ISIC LSPN, BCH 5304, CH-1015 Lausanne, Switzerland.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jieping.zhu@epfl.ch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0306-0012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1460-4744</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47"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24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Engineering Bismuth-Tin Interface in Bimetallic Aerogel with a 3D Porous Structure for Highly Selective Electrocatalytic CO2 Reduction to HCOOH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Wu, ZX (Wu, Zexing); Wu, HB (Wu, Hengbo); Cai, WQ (Cai, Weiquan); Wen, ZH (Wen, Zhenhai); Jia, BH (Jia, Baohua); Wang, L (Wang, Lei); Jin, W (Jin, Wei); Ma, TY (Ma, Tianyi)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ANGEWANDTE CHEMIE-INTERNATIONAL EDITION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60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22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12554-12559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10.1002/anie.202102832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APR 2021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MAY 25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135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133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Electrochemical reduction of CO2 (CO2RR) into valuable hydrocarbons is appealing in alleviating the excessive CO2 level. We present the very first utilization of metallic bismuth-tin (Bi-Sn) aerogel for CO2RR with selective HCOOH production. A non-precious bimetallic aerogel of Bi-Sn is readily prepared at ambient temperature, which exhibits 3D morphology with interconnected channels, abundant interfaces and a hydrophilic surface. Superior to Bi and Sn, the Bi-Sn aerogel exposes more active sites and it has favorable mass transfer properties, which endow it with a high FEHCOOH of 93.9 %. Moreover, the Bi-Sn aerogel achieves a FEHCOOH of ca. 90 % that was maintained for 10 h in a flow battery. In situ ATR-FTIR measurements confirmed that the formation of *HCOO is the rate-determining step toward formic acid generation. DFT demonstrated the coexistence of Bi and Sn optimized the energy barrier for the production of HCOOH, thereby improving the catalytic activity.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WOS:000643792900001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[Wu, Zexing; Wang, Lei] Qingdao Univ Sci &amp; Technol, Coll Chem &amp; Mol Engn, State Key Lab Base Ecochem Engn, 53 Zhengzhou Rd,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Hengbo; Jin, Wei] Tongji Univ, Sch Environm Sci &amp; Engn, State Key Lab Pollut Control &amp; Resources Reuse, 1239 Siping Rd, Shanghai 200092,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[Cai, Weiquan] Guangzhou Univ, Sch Chem &amp; Chem Engn, 230 Guangzhou Univ City Outer Ring Rd, Guangzhou 510006,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[Wen, Zhenhai] Chinese Acad Sci, Fujian Inst Res Struct Matter, CAS Key Lab Design &amp; Assembly Funct Nanostruct, Fujian Prov Key Lab Nanomat, Fuzhou 350002, Fujian,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 Baohua; Ma, Tianyi] Swinburne Univ Technol, Fac Sci Engn &amp; Technol, Ctr Translat Atomat, John St, Hawthorn, Vic 3122, Australia.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Wang, L (通讯作者)，Qingdao Univ Sci &amp; Technol, Coll Chem &amp; Mol Engn, State Key Lab Base Ecochem Engn, 53 Zhengzhou Rd,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Jin, W (通讯作者)，Tongji Univ, Sch Environm Sci &amp; Engn, State Key Lab Pollut Control &amp; Resources Reuse, 1239 Siping Rd, Shanghai 200092,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Ma, TY (通讯作者)，Swinburne Univ Technol, Fac Sci Engn &amp; Technol, Ctr Translat Atomat, John St, Hawthorn, Vic 3122, Australia.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inorchemwl@126.com; wjin@ipe.ac.cn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1433-7851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1521-3773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48"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25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Synthesis of CF@PANI hybrid nanocomposites decorated with Fe3O4 nanoparticles towards excellent lightweight microwave absorber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Zhang, M (Zhang, Meng); Ling, HL (Ling, Hailong); Ding, SQ (Ding, Shiqi); Xie, YX (Xie, Yuxin); Cheng, TT (Cheng, Tingting); Zhao, LB (Zhao, Laibin); Wang, T (Wang, Ting); Bian, HG (Bian, Huiguang); Lin, H (Lin, Hui); Li, ZJ (Li, Zhenjiang); Meng, AL (Meng, Alan)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CARBON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174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248-259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10.1016/j.carbon.2020.12.005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15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72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74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Recently, lightweight has gradually become the most concerned property for a practical microwave absorber in the frequency range of 2-18 GHz. In this work, using commercial carbon fiber (CF) as matrix, the hybrid nanocomposites constructed by CF core, polyaniline (PANI) coating and dispersed Fe3O4 nanoparticles (NPs) were successfully synthesized by the electrodeposition and subsequent hydrothermal process. The systematic characterization results revealed that both PANI and Fe3O4 exerted positive roles in enhancing the microwave absorption properties of bare CF. Under the combined action of various components, the desired products (CF@PANI@Fe3O4 hybrid nanocomposites) exhibited remarkable microwave absorption performances, and the minimal reflection loss (RL) was -46.86 dB at a filler content of 10 wt% and a matching thickness of 2.7 mm. Moreover, a synergistic mechanism was proposed according to multiple reflection/scattering, dipole polarization, interface polarization, eddy current and magnetic resonance, so as to demonstrate the multi-attenuation approaches of the incident electromagnetic wave. (C) 2020 Elsevier Ltd. All rights reserved.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WOS:000619304100024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[Zhang, Meng; Ling, Hailong; Ding, Shiqi; Xie, Yuxin; Cheng, Tingting; Zhao, Laibin; Bian, Huiguang; Lin, Hui; Li, Zhenjiang] Qingdao Univ Sci &amp; Technol, Key Lab Polymer Mat Adv Mfg Technol Shandong Prov, Coll Electromech Engn, Coll Mat Sci &amp; Engn, Qingdao 266061,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Ting] Qingdao Univ Sci &amp; Technol, Coll Chem Engn, Gaomi Campus, Qingdao 266061,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[Meng, Alan] Qingdao Univ Sci &amp; Technol, Coll Chem &amp; Mol Engn, State Key Lab Base Ecochem Engn,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Li, ZJ (通讯作者)，Qingdao Univ Sci &amp; Technol, Key Lab Polymer Mat Adv Mfg Technol Shandong Prov, Coll Electromech Engn, Coll Mat Sci &amp; Engn, Qingdao 266061,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Meng, A (通讯作者)，Qingdao Univ Sci &amp; Technol, Coll Chem &amp; Mol Engn, State Key Lab Base Ecochem Engn,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zhenjiangli@qust.edu.cn; alanmengqust@163.com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Materials Science,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Materials Science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0008-6223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1873-3891</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49"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26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Dual-Mode SERS and Electrochemical Detection of miRNA Based on Popcorn-like Gold Nanofilms and Toehold-Mediated Strand Displacement Amplification Reaction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Zhou, H (Zhou, Hong); Zhang, JS (Zhang, Jishou); Li, BX (Li, Binxiao); Liu, J (Liu, Jing); Xu, JJ (Xu, Jing-Juan); Chen, HY (Chen, Hong-Yuan)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ANALYTICAL CHEMISTRY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93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15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6120-6127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10.1021/acs.analchem.0c05221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APR 2021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20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74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73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MicroRNA (miRNA) has emerged as one of the ideal target biomarker analytes for cancer detection because its abnormal expression is closely related to the occurrence of many cancers. In this work, we combined three-dimensional (3D) popcorn-like gold nanofilms as novel surface-enhanced Raman scattering (SERS)-electrochemistry active substrates with toehold-mediated strand displacement reactions (TSDRs) to construct a DNA molecular machine for SERS-electrochemistry dual-mode detection of miRNA. 3D popcorn-like spatial structures generated more active "hot spots" and thus enhanced the sensitivity of SERS and electrochemical signals. Besides, the TSDRs showed high sequence-dependence and high specificity. The addition of target miRNA will trigger the molecular machine to perform two TSDRs in the presence of signal DNA strands modified by R6G (R6G-DNA), thus achieving an enzyme-free amplification detection of miRNA with a low limit of detection of 0.12 fM (for the SERS method) and 2.2 fM (for the electrochemical method). This biosensor can also serve as a universally amplified and sensitive detection platform for monitoring different biomarkers, such as cancer-related DNA, messenger RNA, or miRNA molecules, with high selectivity by changing the corresponding probe sequence.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WOS:000643539400018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[Zhou, Hong; Zhang, Jishou] Qingdao Univ Sci &amp; Technol, Coll Chem &amp; Mol Engn, Key Lab Opt Elect Sensing &amp; Analyt Chem Life Sci, Minist Educ,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Binxiao] Fudan Univ, Shanghai Stomatol Hosp, State Key Lab Mol Engn Polymers, Dept Chem, Shanghai 200433,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Binxiao] Fudan Univ, Inst Biomed Sci, Shanghai 200433,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Jing-Juan; Chen, Hong-Yuan] Nanjing Univ, Sch Chem &amp; Chem Engn, State Key Lab Analyt Chem Life Sci, Nanjing 210023,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Jing-Juan; Chen, Hong-Yuan] Zhengzhou Univ, Coll Chem &amp; Mol Engn, Zhengzhou 450001,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Jing] Shandong Univ Sci &amp; Technol, Coll Chem &amp; Biol Engn, Qingdao 266590,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Zhou, H (通讯作者)，Qingdao Univ Sci &amp; Technol, Coll Chem &amp; Mol Engn, Key Lab Opt Elect Sensing &amp; Analyt Chem Life Sci, Minist Educ,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JJ (通讯作者)，Nanjing Univ, Sch Chem &amp; Chem Engn, State Key Lab Analyt Chem Life Sci, Nanjing 210023,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JJ (通讯作者)，Zhengzhou Univ, Coll Chem &amp; Mol Engn, Zhengzhou 450001,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J (通讯作者)，Shandong Univ Sci &amp; Technol, Coll Chem &amp; Biol Engn, Qingdao 266590,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zhouhong@qust.edu.cn; jliu99@126.com; xujj@nju.edu.cn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Analytical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0003-2700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1520-6882</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50"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27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A signal-on photoelectrochemical aptasensor for chloramphenicol assay based on 3D self-supporting AgI/Ag/BiOI Z-scheme heterojunction arrays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Zhu, JH (Zhu, Jian-Hong); Feng, YG (Feng, Yi-Ge); Wang, AJ (Wang, Ai-Jun); Mei, LP (Mei, Li-Ping); Luo, XL (Luo, Xiliang); Feng, JJ (Feng, Jiu-Ju)</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BIOSENSORS &amp; BIOELECTRONICS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181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113158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10.1016/j.bios.2021.113158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MAR 2021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JUN 1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90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91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Severe challenges are still remained for development of highly sensitive, selective and stable photoelectrochemical (PEC) sensing technology, albeit with its broad application for chloramphenicol (CAP) detection. Herein, a novel "signal-on" PEC aptasensor was fabricated based on a 3D self-supporting Z-scheme AgI/Ag/BiOI heterojunction arrays subtly integrated with in-situ formed biocatalytic precipitation (BCP) for highly sensitive and selective determination of CAP. Impressively, the HRP modified CAP aptamer (HRP-CAP aptamer) was released from the electrode by its strong affinity to the introduced CAP, and gradually terminated the BCP reaction, in turn recovering the photocurrent. By virtues of the 3D self-supporting AgI/Ag/BiOI Z-scheme heterojunction arrays and BCP signal amplification strategy, the resultant PEC sensor exhibited a wide linear range of 2-250 nM with a limit of detection (LOD) as low as 0.226 nM (S/N = 3). This work opens a new avenue for design of PEC aptasensing strategy and exhibits the marvelous potential in bioanalysis of environmental samples.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WOS:000640414200004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[Zhu, Jian-Hong; Feng, Yi-Ge; Wang, Ai-Jun; Mei, Li-Ping; Feng, Jiu-Ju] Zhejiang Normal Univ, Coll Geog &amp; Environm Sci, Coll Chem &amp; Life Sci, Key Lab Minist Educ Adv Catalysis Mat, Jinhua 321004, Zhejiang,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[Luo, Xiliang] Qingdao Univ Sci &amp; Technol, Coll Chem &amp; Mol Engn, Key Lab Opt Elect Sensing &amp; Analyt Chem Life Sci, MOE,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Mei, LP; Feng, JJ (通讯作者)，Zhejiang Normal Univ, Coll Geog &amp; Environm Sci, Coll Chem &amp; Life Sci, Key Lab Minist Educ Adv Catalysis Mat, Jinhua 321004, Zhejiang,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mei.lp@zjnu.edu.cn; jjfeng@zjnu.cn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Biophysics; Biotechnology &amp; Applied Microbiology; Chemistry, Analytical; Electrochemistry; Nanoscience &amp; Nanotechnology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Biophysics; Biotechnology &amp; Applied Microbiology; Chemistry; Electrochemistry;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0956-5663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1873-4235</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51"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28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Coralline-like Ni2P decorated novel tetrapod-bundle Cd0.9Zn0.1S ZB/WZ homojunctions for highly efficient visible-light photocatalytic hydrogen evolution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Shao, ZW (Shao, Zhuwang); Meng, X (Meng, Xiao); Lai, H (Lai, Hong); Zhang, DF (Zhang, Dafeng); Pu, XP (Pu, Xipeng); Su, CH (Su, Changhua); Li, H (Li, Hong); Ren, XZ (Ren, Xiaozhen); Geng, YL (Geng, Yanling)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CHINESE JOURNAL OF CATALYSIS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42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3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439-449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10.1016/S1872-2067(20)63597-5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MAR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124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124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In this study, Ni2P-Cd0.9Zn0.1S (NPCZS) composites were synthesized by coupling tetrapod bundle Cd0.9Zn0.1S (CZS) and coralline-like Ni2P (NP) via a simple calcination method. CZS shows outstanding activity in photocatalytic hydrogen evolution (1.31 mmol h(-1)), owing to its unique morphology and heterophase homojunctions (ZB/WZ), which accelerate the separation and transfer of photogenerated charges. After coupling with NP, the photoactivity of NPCZS was enhanced, and the maximum hydrogen evolution rate of 1.88 mmol h(-1) was reached at a NP content of 12 wt%, which was 1.43 times higher than that of pure CZS. The experimental results of the photocatalytic activity, viz. photoluminescence spectra, surface photovoltage spectra, and electrochemical test showed that the enhanced photoactivity of NPCZS should be attributed to the synergistic effects of the novel tetrapod-bundle morphology, heterophase homojunctions, and decoration of the NP co-catalyst. Moreover, the as-prepared NPCZS composites exhibited excellent photostability and recyclability. Herein, we propose a possible mechanism for the enhanced photocatalytic activity. (C) 2021, Dalian Institute of Chemical Physics, Chinese Academy of Sciences. Published by Elsevier B.V. All rights reserved.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WOS:000582726000008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[Shao, Zhuwang; Meng, Xiao; Lai, Hong; Zhang, Dafeng; Pu, Xipeng; Su, Changhua; Li, Hong; Ren, Xiaozhen] Liaocheng Univ, Sch Mat Sci &amp; Engn, Shandong Prov Key Lab Chem Energy Storage &amp; Novel, Liaocheng 252000,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[Geng, Yanling] Qingdao Univ Sci &amp; Technol, Coll Chem &amp; Mol Engn, State Key Lab Base Ecochem Engn,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Pu, XP (通讯作者)，Liaocheng Univ, Sch Mat Sci &amp; Engn, Shandong Prov Key Lab Chem Energy Storage &amp; Novel, Liaocheng 252000,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xipengpu@hotmail.com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Applied; Chemistry, Physical;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0253-9837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1872-2067</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52"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29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Highly efficient water desalination by capacitive deionization on biomass-derived porous carbon nanoflakes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Lu, T (Lu, Ting); Liu, Y (Liu, Yong); Xu, XT (Xu, Xingtao); Pan, LK (Pan, Likun); Alothman, AA (Alothman, Asma A.); Shapter, J (Shapter, Joe); Wang, Y (Wang, Yong); Yamauchi, Y (Yamauchi, Yusuke)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SEPARATION AND PURIFICATION TECHNOLOGY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256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117771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10.1016/j.seppur.2020.117771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FEB 1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71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71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Capacitive deionization (CDI) works by using the electrical double layer on various materials including nanoporous carbons to separate ions from saline water. To help realize industrial application, there has been an increasing interest in the exploration of carbon materials from low cost, eco-friendly and abundant biomass for CDI to align with the demands of sustainable development strategies. Herein we report pyrolysis of xylose with KHCO3 to prepare hierarchically porous carbon nanoflakes which display a satisfactory salt adsorption capacity of 16.29 mg g-1. This novel strategy can design highly efficient carbon materials from naturally-developed biomass materials with its low preparation cost, environmentally friendliness and superior desalination performance. Our xylose-derived hierarchically porous carbon nanoflakes are promising for potential industrial application for CDI.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WOS:000674613800008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[Lu, Ting; Wang, Yong] Shanghai Univ, Sch Environm &amp; Chem Engn, Dept Chem Engn, Shanghai 200444,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[Lu, Ting; Pan, Likun] East China Normal Univ, Sch Phys &amp; Mat Sci, Shanghai Key Lab Magnet Resonance, Shanghai 200062,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Yong] Qingdao Univ Sci &amp; Technol, Sch Mat Sci &amp;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Xingtao] Hohai Univ, Coll Hydrol &amp; Water Resources, Nanjing 210098,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Xingtao] Natl Inst Mat Sci, Int Ctr Mat Nanoarchitecton WPI MANA, 1-1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[Alothman, Asma A.] King Saud Univ, Coll Sci, Dept Chem, Riyadh 11451, Saudi Arabia.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[Shapter, Joe; Yamauchi, Yusuke] Univ Queensland, Australian Inst Bioengn &amp; Nanotechnol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Yusuke] Univ Queensland, Fac Engn Architecture &amp; Informat Technol,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Yusuke] Kyung Hee Univ, Dept Plant &amp; Environm New Resources, 1732 Deogyeong Daero, Yongin 446701, Gyeonggi Do,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Wang, Y (通讯作者)，Shanghai Univ, Sch Environm &amp; Chem Engn, Dept Chem Engn, Shanghai 200444,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XT (通讯作者)，Natl Inst Mat Sci, Int Ctr Mat Nanoarchitecton WPI MANA, 1-1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(通讯作者)，Univ Queensland, Australian Inst Bioengn &amp; Nanotechnol AIBN, Brisbane, Qld 4072, Australia.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Xu.Xingtao@nims.go.jp; yongwang@shu.edu.cn; y.yamauchi@uq.edu.au</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1383-5866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1873-3794</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53"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30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Simultaneous oxidative and reductive reactions in one system by atomic design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Zhao, YF (Zhao, Yafei); Zhou, H (Zhou, Huang); Zhu, XR (Zhu, Xiaorong); Qu, YT (Qu, Yunteng); Xiong, C (Xiong, Can); Xue, ZG (Xue, Zhenggang); Zhang, QW (Zhang, Qingwei); Liu, XK (Liu, Xiaokang); Zhou, FY (Zhou, Fangyao); Mou, XM (Mou, Xiaoming); Wang, WY (Wang, Wenyu); Chen, M (Chen, Min); Xiong, Y (Xiong, Ya); Lin, XG (Lin, Xingen); Lin, Y (Lin, Yue); Chen, WX (Chen, Wenxing); Wane, HJ (Wane, Hui-Juan); Jiang, Z (Jiang, Zheng); Zheng, LR (Zheng, Lirong); Yao, T (Yao, Tao); Dong, JC (Dong, Juncai); Wei, SQ (Wei, Shiqiang); Huang, WX (Huang, Weixin); Gu, L (Gu, Lin); Luo, J (Luo, Jun); Li, YF (Li, Yafei); Wu, YE (Wu, Yuen)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CATALYSIS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4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2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134-143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10.1038/s41929-020-00563-0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JAN 2021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FEB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90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91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Single-atom catalysts can exhibit improved catalytic performance with respect to their bulk counterparts. Now, the authors introduce a yolk@shell catalyst with spatially separated Pd and Fe single sites that simultaneously catalyse nitroaromatic hydrogenation and alkene epoxidation reactions, leading to a cascade synthesis of amino alcohols.</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Single-atom catalysts often exhibit unexpected catalytic activity for many important chemical and biological reactions with respect to their bulk counterparts, and have been recognized as potential substitutes for natural enzymes. Here we report a biomimetic composite, yolk-shell Pd-1@Fe-1, that features two compatible single-atom systems with atomically dispersed Fe-1 sites in a N-doped carbon shell and Pd-1 sites in a yolk derived from a metal-organic framework. Directly utilizing the O-2 and H-2 sources generated on-site from the electrocatalytic overall water splitting, the as-synthesized yolk-shell Pd-1@Fe-1 could simultaneously catalyse nitroaromatic hydrogenation and alkene epoxidation reactions and lead to a cascade synthesis of amino alcohols. Our findings provide a versatile strategy to integrate different single metal sites within one system to allow the continuous and easy synthesis of complex compounds for various challenging reactions.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WOS:000609345800001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[Zhao, Yafei; Zhou, Huang; Qu, Yunteng; Xiong, Can; Xue, Zhenggang; Zhang, Qingwei; Zhou, Fangyao; Wang, Wenyu; Chen, Min; Lin, Xingen; Lin, Yue; Huang, Weixin; Wu, Yuen] Univ Sci &amp; Technol China, Hefei Natl Lab Phys Sci Microscale, Collaborat Innovat Ctr Chem Energy Mat iChEM, Sch Chem &amp; Mat Sci, Hefei,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[Zhao, Yafei; Zhou, Huang; Qu, Yunteng; Xiong, Can; Xue, Zhenggang; Zhang, Qingwei; Liu, Xiaokang; Zhou, Fangyao; Wang, Wenyu; Chen, Min; Lin, Xingen; Lin, Yue; Yao, Tao; Wei, Shiqiang; Huang, Weixin; Wu, Yuen] Univ Sci &amp; Technol China, Natl Synchrotron Radiat Lab, Hefei,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[Zhu, Xiaorong; Li, Yafei] Nanjing Normal Univ, Jiangsu Collaborat Innovat Ctr Biomed Funct Mat, Sch Chem &amp; Mat Sci, Nanjing,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[Mou, Xiaoming] Qingdao Univ Sci &amp; Technol, Coll Chem &amp; Mol Engn, Qingdao,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[Xiong, Ya] China Univ Petr, Dept Mat Sci &amp; Engn, Qingdao,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[Chen, Wenxing] Beijing Inst Technol, Sch Mat Sci &amp; Engn, Beijing Key Lab Construct Tailorable Adv Funct Ma, Beijing,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[Wane, Hui-Juan] Univ Sci &amp; Technol China, Expt Ctr Engn &amp; Mat Sci, Hefei,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[Jiang, Zheng] Chinese Acad Sci, Shanghai Inst Appl Phys, Shanghai Synchrotron Radiat Facil, Shanghai,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[Zheng, Lirong; Dong, Juncai] Chinese Acad Sci, Inst High Energy Phys, Beijing Synchrotron Radiat Facil, Beijing,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[Gu, Lin] Chinese Acad Sci, Inst Phys, Beijing,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[Luo, Jun] Tianjin Univ Technol, Sch Mat, Ctr Electron Microscopy, Tianjin,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[Luo, Jun] Tianjin Univ Technol, Sch Mat, Tianjin Key Lab Adv Funct Porous Mat, Inst New Energy Mat &amp; Low Carbon Technol, Tianjin,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Wu, YE (通讯作者)，Univ Sci &amp; Technol China, Hefei Natl Lab Phys Sci Microscale, Collaborat Innovat Ctr Chem Energy Mat iChEM, Sch Chem &amp; Mat Sci, Hefei,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YE (通讯作者)，Univ Sci &amp; Technol China, Natl Synchrotron Radiat Lab, Hefei,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YF (通讯作者)，Nanjing Normal Univ, Jiangsu Collaborat Innovat Ctr Biomed Funct Mat, Sch Chem &amp; Mat Sci, Nanjing,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liyafei@njnu.edu.cn; yuenwu@ustc.edu.cn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2520-1158</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54"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31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Dramatically Enhanced Visible-light-responsive H-2 Evolution of Cd1-xZnxS via the Synergistic Effect of Ni2P and 1T/2H MoS2 Cocatalysts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Ma, XW (Ma Xiao-Wei); Lin, HF (Lin Hai-Feng); Li, YY (Li Yan-Yan); Wang, L (Wang Lei); Pu, XP (Pu Xi-Peng); Yi, XJ (Yi Xiu-Jie)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CHINESE JOURNAL OF STRUCTURAL CHEMISTRY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40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7-22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10.14102/j.cnki.0254-5861.2011-2752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15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71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72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Photocatalytic hydrogen generation from water-splitting holds huge promise for resolving the current energy shortage and environmental issues. Nevertheless, it is still challenging so far to develop non-noble-metal photocatalysts which are efficient toward solar-powered hydrogen evolution reaction (HER). In this work, through an ultrasonic water-bath strategy combined with solvothermal and electrostatic assembly processes, we obtain homogeneous Cd1-xZnxS-Ni2P-MoS2 hybrid nano-spheres consisting of Cd1-xZnxS solid solutions decorated by Ni2P and 1T/2H MoS2 cocatalysts, which demonstrate excellent activity and stability for visible-light-responsive (lambda &gt; 420 nm) H-2 production. Specifically, the Cd1-xZnxS-Ni2P-MoS2 nano-spheres with 2 wt% Ni2P and 0.2 wt% MoS2 (CZ(0.7)S-2N-0.2M) exhibit the optimal HER activity of 55.77 mmol.g(-)(1).h(-1), about 47 and 32 times more than that of CZ(0.7)S and Pt-CZ(0.7)S, respectively. The outstanding HER performance of Cd1-xZnxS-Ni2P-MoS2 can be ascribed to the presence of abundant HER active sites in Ni2P nanoparticles and 1T/2H MoS2 nanosheets as well as the effective transfer and separation of charge carriers. Moreover, the coupling sequence of cocatalysts in Cd1-xZnxS-Ni2P-MoS2 is found to be critical in the regulation of charge transfer pathways and thus the resultant photocatalytic efficiency. The results displayed here could facilitate the engineering of high-performance photocatalysts employing multi-component cocatalysts for sustainable solar-to-fuel conversion.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WOS:000607828000001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[Ma Xiao-Wei; Pu Xi-Peng; Yi Xiu-Jie] Liaocheng Univ, Coll Mat Sci &amp; Engn, Liaocheng 252059,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[Lin Hai-Feng; Li Yan-Yan; Wang Lei] Qingdao Univ Sci &amp; Technol, Coll Chem &amp; Mol Engn, Key Lab Ecochem Engn, Taishan Scholar Advantage &amp; Characterist Discipli,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Pu, XP; Yi, XJ (通讯作者)，Liaocheng Univ, Coll Mat Sci &amp; Engn, Liaocheng 252059,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YY (通讯作者)，Qingdao Univ Sci &amp; Technol, Coll Chem &amp; Mol Engn, Key Lab Ecochem Engn, Taishan Scholar Advantage &amp; Characterist Discipli,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liyanyan6771@163.com; xipengpu@lctu.edu.cn; yixiujie@126.com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Inorganic &amp; Nuclear; Crystallography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Crystallography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0254-5861</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55"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32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Catalytically potent and selective clusterzymes for modulation of neuroinflammation through single-atom substitutions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Liu, HL (Liu, Haile); Li, YH (Li, Yonghui); Sun, S (Sun, Si); Xin, Q (Xin, Qi); Liu, SH (Liu, Shuhu); Mu, XY (Mu, Xiaoyu); Yuan, X (Yuan, Xun); Chen, K (Chen, Ke); Wang, H (Wang, Hao); Varga, K (Varga, Kalman); Mi, WB (Mi, Wenbo); Yang, J (Yang, Jiang); Zhang, XD (Zhang, Xiao-Dong)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COMMUNICATIONS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12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114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10.1038/s41467-020-20275-0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7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87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88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Emerging artificial enzymes with reprogrammed and augmented catalytic activity and substrate selectivity have long been pursued with sustained efforts. The majority of current candidates have rather poor catalytic activity compared with natural molecules. To tackle this limitation, we design artificial enzymes based on a structurally well-defined Au-25 cluster, namely clusterzymes, which are endowed with intrinsic high catalytic activity and selectivity driven by single-atom substitutions with modulated bond lengths. Au24Cu1 and Au24Cd1 clusterzymes exhibit 137 and 160 times higher antioxidant capacities than natural trolox, respectively. Meanwhile, the clusterzymes demonstrate preferential enzyme-mimicking catalytic activities, with Au-25, Au24Cu1 and Au24Cd1 displaying compelling selectivity in glutathione peroxidase-like (GPx-like), catalase-like (CAT-like) and superoxide dismutase-like (SOD-like) activities, respectively. Au24Cu1 decreases peroxide in injured brain via catalytic reactions, while Au24Cd1 preferentially uses superoxide and nitrogenous signal molecules as substrates, and significantly decreases inflammation factors, indicative of an important role in mitigating neuroinflammation. Artificial enzymes with reprogrammed and augmented catalytic activity and substrate selectivity have emerged to tackle limitations of noble metals or transition metal oxides. Here, the authors report Au-25 clusterzymes which are endowed with high catalytic activity and selectivity in a range of enzyme-mimicking reactions.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WOS:000684636800001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[Liu, Haile; Li, Yonghui; Sun, Si; Xin, Qi; Mu, Xiaoyu; Chen, Ke; Wang, Hao; Mi, Wenbo; Zhang, Xiao-Dong] Tianjin Univ, Sch Sci, Tianjin Key Lab Low Dimens Mat Phys &amp; Preparing T, Dept Phys, Tianjin 300350,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Shuhu] Chinese Acad Sci, Inst High Energy Phys IHEP, Beijing Synchrotron Radiat Facil BSRF, Beijing 100049,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[Yuan, Xun] Qingdao Univ Sci &amp; Technol, Sch Mat Sci &amp;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[Varga, Kalman] Vanderbilt Univ, Dept Phys &amp; Astron, Nashville, TN 37235 USA.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[Yang, Jiang] Sun Yat Sen Univ, Sch Med, Guangzhou 510060,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[Zhang, Xiao-Dong] Tianjin Univ, Acad Med Engn &amp; Translat Med, Tianjin Key Lab Brain Sci &amp; Neural Engn, Tianjin 300072,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Zhang, XD (通讯作者)，Tianjin Univ, Sch Sci, Tianjin Key Lab Low Dimens Mat Phys &amp; Preparing T, Dept Phys, Tianjin 300350,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Zhang, XD (通讯作者)，Tianjin Univ, Acad Med Engn &amp; Translat Med, Tianjin Key Lab Brain Sci &amp; Neural Engn, Tianjin 300072,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xiaodongzhang@tju.edu.cn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Multidisciplinary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2041-1723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56"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33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Molecular reactivity of thiolate-protected noble metal nanoclusters: synthesis, self-assembly, and applications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Yao, QF (Yao, Qiaofeng); Wu, ZN (Wu, Zhennan); Liu, ZH (Liu, Zhihe); Lin, YZ (Lin, Yingzheng); Yuan, X (Yuan, Xun); Xie, JP (Xie, Jianping)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CHEMICAL SCIENCE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12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99-127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10.1039/d0sc04620e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7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77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76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Thiolate-protected noble metal (e.g., Au and Ag) nanoclusters (NCs) are ultra-small particles with a core size of less than 3 nm. Due to the strong quantum confinement effects and diverse atomic packing modes in this ultra-small size regime, noble metal NCs exhibit numerous molecule-like optical, magnetic, and electronic properties, making them an emerging family of "metallic molecules". Based on such molecule-like structures and properties, an individual noble metal NC behaves as a molecular entity in many chemical reactions, and exhibits structurally sensitive molecular reactivity to various ions, molecules, and other metal NCs. Although this molecular reactivity determines the application of NCs in various fields such as sensors, biomedicine, and catalysis, there is still a lack of systematic summary of the molecular interaction/reaction fundamentals of noble metal NCs at the molecular and atomic levels in the current literature. Here, we discuss the latest progress in understanding and exploiting the molecular interactions/reactions of noble metal NCs in their synthesis, self-assembly and application scenarios, based on the typical M(0)@M(i)-SR core-shell structure scheme, where M and SR are the metal atom and thiolate ligand, respectively. In particular, the continuous development of synthesis and characterization techniques has enabled noble metal NCs to be produced with molecular purity and atomically precise structural resolution. Such molecular purity and atomically precise structure, coupled with the great help of theoretical calculations, have revealed the active sites in various structural hierarchies of noble metal NCs (e.g., M(0) core, M-S interface, and SR ligand) for their molecular interactions/reactions. The anatomy of such molecular interactions/reactions of noble metal NCs in synthesis, self-assembly, and applications (e.g., sensors, biomedicine, and catalysis) constitutes another center of our discussion. The basis and practicality of the molecular interactions/reactions of noble metal NCs exemplified in this Review may increase the acceptance of metal NCs in various fields.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WOS:000607298400006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[Yao, Qiaofeng; Wu, Zhennan; Liu, Zhihe; Lin, Yingzheng; Xie, Jianping] Natl Univ Singapore, Dept Chem &amp; Biomol Engn, 4 Engn Dr 4, Singapore 117585, Singapore.</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[Yuan, Xun] Qingdao Univ Sci &amp; Technol, Coll Mat Sci &amp;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Zhihe; Lin, Yingzheng; Xie, Jianping] Joint Sch Natl Univ Singapore &amp; Tianjin Univ, Int Campus Tianjin Univ, Fuzhou 350207,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Xie, JP (通讯作者)，Natl Univ Singapore, Dept Chem &amp; Biomol Engn, 4 Engn Dr 4, Singapore 117585, Singapore.</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Yuan, X (通讯作者)，Qingdao Univ Sci &amp; Technol, Coll Mat Sci &amp;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Xie, JP (通讯作者)，Joint Sch Natl Univ Singapore &amp; Tianjin Univ, Int Campus Tianjin Univ, Fuzhou 350207,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yuanxun@qust.edu.cn; chexiej@nus.edu.sg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2041-6520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2041-6539</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57"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34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Coupling of iron phthalocyanine at carbon defect site via pi-pi stacking for enhanced oxygen reduction reaction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Yu, XZ (Yu, Xuezheng); Lai, SJ (Lai, Shoujuan); Xin, SS (Xin, Shishan); Chen, S (Chen, Shuai); Zhang, XL (Zhang, Xiaoli); She, XL (She, Xilin); Zhan, TR (Zhan, Tianrong); Zhao, XL (Zhao, Xiaoliang); Yang, DJ (Yang, Dongjiang)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APPLIED CATALYSIS B-ENVIRONMENTAL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280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119437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10.1016/j.apcatb.2020.119437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2021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94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95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intrinsic activity of transition metal catalytic centers for oxygen reduction reaction (ORR) depends heavily on its electronic structure, which with an electron-rich environment will boost the ORR performance. In this work, we firstly revealed the defective graphene (DG) substrate with 585 defects could efficiently mediate charge redistribution of the attached exfoliated monolayer Iron Phthalocyanine (FePc) by using density functional theory (DFT) calculation. The electrons transfer to FePc from 585 defects forms an electron-rich region on Fe atom, and high-density electrons further raise the d-band center of Fe atom. Apparently, this adjustment of electronic structure for Fe atoms is beneficial to the adsorption and reaction of O-2 molecules, inducing more positive initial potential and larger current density for ORR. Based on this finding, DG obtained by the heat treatment was prepared to couple exfoliated monolayer FePc through stable Tc-Tc stacking. As expected, FePc/DG hybrid exhibits outstanding electrocatalytic ORR performance with a positive initial potential (0.98 V vs. RHE) and a high current density (5.45 mA.cm(-2)) in 0.1 M KOH electrolytes. In addition, the FePc/DG hybrid was utilized to assemble a zinc-air battery device, which reveals the power density of 190 mWcm(-2).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WOS:000572390300005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[Yu, Xuezheng; Lai, Shoujuan; Xin, Shishan; She, Xilin; Zhao, Xiaoliang; Yang, Dongjiang] Qingdao Univ, Shandong Collaborat Innovat Ctr Marine Biobased F, Sch Environm Sci &amp; Engn, State Key Lab Biofibers &amp; Ecotext, Qingdao 266071,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[Chen, Shuai] Chinese Acad Sci, Inst Coal Chem, State Key Lab Coal Convers, Taiyuan 030001,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[Yang, Dongjiang] Griffith Univ, Queensland Micro &amp; Nanotechnol Ctr QMNC, Brisbane, Qld 4111,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[Zhang, Xiaoli] Zhengzhou Univ, State Ctr Int Cooperat Designer Low Carbon &amp; Envi, Sch Mat Sci &amp; Engn, Zhengzhou 450001,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[Zhan, Tianrong] Qingdao Univ Sci &amp; Technol, Key Lab Opt Elect Sensing &amp; Analyt Chem Life Sci, State Key Lab Base Ecochem Engn, Minist Educ,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Zhao, XL; Yang, DJ (通讯作者)，Qingdao Univ, Shandong Collaborat Innovat Ctr Marine Biobased F, Sch Environm Sci &amp; Engn, State Key Lab Biofibers &amp; Ecotext, Qingdao 266071,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zhaoxiaoliang@qdu.edu.cn; d.yang@qdu.edu.cn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Engineering, Environmental;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0926-3373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1873-3883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58"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35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Fast site-to-site electron transfer of high-entropy alloy nanocatalyst driving redox electrocatalysis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 HD (Li, Hongdong); Han, Y (Han, Yi); Zhao, H (Zhao, Huan); Qi, WJ (Qi, Wenjing); Zhang, D (Zhang, Dan); Yu, YD (Yu, Yaodong); Cai, WW (Cai, Wenwen); Li, SX (Li, Shaoxiang); Lai, JP (Lai, Jianping); Huang, BL (Huang, Bolong); Wang, L (Wang, Lei)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COMMUNICATIONS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11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5437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10.1038/s41467-020-19277-9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OCT 28 2020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191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188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Designing electrocatalysts with high-performance for both reduction and oxidation reactions faces severe challenges. Here, the uniform and ultrasmall (similar to 3.4nm) high-entropy alloys (HEAs) Pt18Ni26Fe15Co14Cu27 nanoparticles are synthesized by a simple low-temperature oil phase strategy at atmospheric pressure. The Pt18Ni26Fe15Co14Cu27/C catalyst exhibits excellent electrocatalytic performance for hydrogen evolution reaction (HER) and methanol oxidation reaction (MOR). The catalyst shows ultrasmall overpotential of 11mV at the current density of 10mAcm(-2), excellent activity (10.96Amg(Pt)(-1) at -0.07V vs. reversible hydrogen electrode) and stability in the alkaline medium. Furthermore, it is also the efficient catalyst (15.04Amg(Pt)(-1)) ever reported for MOR in alkaline solution. Periodic DFT calculations confirm the multi-active sites for both HER and MOR on the HEA surface as the key factor for both proton and intermediate transformation. Meanwhile, the construction of HEA surfaces supplies the fast site-to-site electron transfer for both reduction and oxidation processes. The design of nanostructured catalysts plays a key role in the electrocatalytic redox reaction performances. Here, authors prepared uniform and small-sized high-entropy alloy PtNiFeCoCu nanoparticles that showed improved activities for H-2 evolution methanol oxidation reactions.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WOS:000588060300006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 Hongdong; Han, Yi; Zhao, Huan; Zhang, Dan; Yu, Yaodong; Cai, Wenwen; Lai, Jianping; Wang, Lei] Qingdao Univ Sci &amp; Technol, Key Lab Opt Sensing &amp; Analyt Chem Life Sci, Taishan Scholar Adv &amp; Characterist Discipline Tea, Key Lab Ecochem Engn,Coll Chem &amp; Mol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[Qi, Wenjing] Chongqing Normal Univ, Coll Chem, Chongqing 401331,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[Zhang, Dan; Li, Shaoxiang; Wang, Lei] Qingdao Univ Sci &amp; Technol, Shandong Engn Res Ctr Marine Environm Corros &amp; Sa, Coll Environm &amp; Safety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[Huang, Bolong] Hong Kong Polytech Univ, Dept Appl Biol &amp; Chem Technol, Hung Hom, Kowloon, Hong Kong,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Lai, JP; Wang, L (通讯作者)，Qingdao Univ Sci &amp; Technol, Key Lab Opt Sensing &amp; Analyt Chem Life Sci, Taishan Scholar Adv &amp; Characterist Discipline Tea, Key Lab Ecochem Engn,Coll Chem &amp; Mol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L (通讯作者)，Qingdao Univ Sci &amp; Technol, Shandong Engn Res Ctr Marine Environm Corros &amp; Sa, Coll Environm &amp; Safety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Huang, BL (通讯作者)，Hong Kong Polytech Univ, Dept Appl Biol &amp; Chem Technol, Hung Hom, Kowloon, Hong Kong,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jplai@qust.edu.cn; bhuang@polyu.edu.hk; inorchemwl@126.com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Multidisciplinary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2041-1723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59"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36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Synthesis and enhanced electromagnetic wave absorption performances of Fe3O4@C decorated walnut shell-derived porous carbon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 ZJ (Li, Zhenjiang); Lin, H (Lin, Hui); Ding, SQ (Ding, Shiqi); Ling, HL (Ling, Hailong); Wang, T (Wang, Ting); Miao, ZQ (Miao, Zeqing); Zhang, M (Zhang, Meng); Meng, A (Meng, Alan); Li, QD (Li, Qingdang)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CARBON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167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148-159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10.1016/j.carbon.2020.05.070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OCT 15 2020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134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139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Bio-derived carbon is considered to be an ideal lightweight dielectric-type electromagnetic wave absorbing material (absorber). However, the vast majority of them cannot achieve satisfactory absorption performances just depending on dielectric loss. Herein, to obtain a superior electromagnetic wave absorber, Fe3O4@C nanospheres have been successfully decorated on the surface of the biomass (walnut shell)-derived porous carbon (BC) via a hydrothermal-calcination process. It is worth noting that the dielectric constant and permeability matching as well as corresponding electromagnetic wave absorption properties of the absorber can be effectively enhanced by adjusting the content of Fe3O4@C nano spheres. The as-synthesized optimal sample (BC/Fe3O4@C-2#) exhibits superior electromagnetic wave absorption performances with the minimum reflection loss (RL) value of -56.61 dB and wide effective absorbing bandwidth (EAB) of 2.72 GHz at 2.46 mm matching thickness, meanwhile, the widest EAB with the value of 5.68 GHz can be achieved at 1.46 mm thin matching thickness. Starting from the respective advantages of dielectric, magnetic and material components, a reasonable synergistic mechanism, including multiple reflection, Debye relaxation, interface polarization and other mechanisms are demonstrated to transmission and loss processes. This low cost, simple preparation process and excellent absorbing performance promise BC/Fe3O4@C nanocomposites being an excellent lightweight electromagnetic wave absorber. (C) 2020 Elsevier Ltd. All rights reserved.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WOS:000565244600005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 Zhenjiang; Lin, Hui; Ding, Shiqi; Ling, Hailong; Zhang, Meng; Li, Qingdang] Qingdao Univ Sci &amp; Technol, Coll Sino German Sci &amp; Technol, Coll Electromech Engn, Key Lab Polymer Mat Adv Mfg Technol Shandong Prov, Qingdao 266061,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Ting; Miao, Zeqing; Meng, Alan] Qingdao Univ Sci &amp; Technol, Coll Chem &amp; Mol Engn, Coll Chem Engn, State Key Lab Base Ecochem Engn, Gaomi Campus,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Zhang, M (通讯作者)，Qingdao Univ Sci &amp; Technol, Coll Sino German Sci &amp; Technol, Coll Electromech Engn, Key Lab Polymer Mat Adv Mfg Technol Shandong Prov, Qingdao 266061,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Meng, A (通讯作者)，Qingdao Univ Sci &amp; Technol, Coll Chem &amp; Mol Engn, Coll Chem Engn, State Key Lab Base Ecochem Engn, Gaomi Campus,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mengzhang@qust.edu.cn; mengzhang@qust.edu.cn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Materials Science,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Materials Science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0008-6223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1873-3891</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60"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37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Emerging 2D MXenes for supercapacitors: status, challenges and prospects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Hu, MM (Hu, Minmin); Zhang, H (Zhang, Hui); Hu, T (Hu, Tao); Fan, BB (Fan, Bingbing); Wang, XH (Wang, Xiaohui); Li, ZJ (Li, Zhenjiang)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CHEMICAL SOCIETY REVIEWS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49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18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6666-6693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10.1039/d0cs00175a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SEP 21 2020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280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287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MXenes refer to a family of 2D transition metal carbides/nitrides that are rich in chemistry. The first member of the family, Ti3C2Tx, was reported in 2011. Since then MXenes have opened up an exciting new field in 2D inorganic functional materials by virtue of their intrinsic electronic conductivity, superior hydrophilicity, rich surface chemistry and layered structure, as evidenced by the fact that the number of papers on MXenes has increased exponentially. The unique properties and ease of processing have positioned them as promising materials for a variety of applications including energy storage, especially for supercapacitors. In this review, we aim to summarize the current advances in MXene research on supercapacitors. We begin by reviewing various fabrication routes and their influence on the structure and surface chemistry of MXenes. The structure, properties, stability, and species of layered MXenes are then introduced. The focus then turns to the capacitive energy-storage mechanisms and the factors determining the electrochemical behavior and performance in supercapacitors. Besides, various types of MXene-based supercapacitors are summarized to highlight the significance of MXenes in constructing energy storage devices. Finally, challenges and prospects in this booming field are proposed to promote further development of MXenes in supercapacitors.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WOS:000571350600008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[Hu, Minmin; Wang, Xiaohui] Chinese Acad Sci, Inst Met Res, Shenyang Natl Lab Mat Sci, Shenyang 110016,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 Minmin; Li, Zhenjiang] Qingdao Univ Sci &amp; Technol, Sch Mat Sci &amp; Engn, Qingdao 266061,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[Zhang, Hui] Lawrence Berkeley Natl Lab, Energy Geosci Div, Berkeley, CA 94720 USA.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 Tao] Suzhou Univ Sci &amp; Technol, Inst Mat Sci &amp; Devices, Suzhou 215000,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[Fan, Bingbing] Zhengzhou Univ, Sch Mat Sci &amp; Engn, Zhengzhou 450001,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Wang, XH (通讯作者)，Chinese Acad Sci, Inst Met Res, Shenyang Natl Lab Mat Sci, Shenyang 110016,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ZJ (通讯作者)，Qingdao Univ Sci &amp; Technol, Sch Mat Sci &amp; Engn, Qingdao 266061,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wang@imr.ac.cn; zhenjiangli@qust.edu.cn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0306-0012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1460-4744</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61"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38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Direct and indirect Z-scheme heterostructure-coupled photosystem enabling cooperation of CO2 reduction and H2O oxidation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Wang, Y (Wang, Ying); Shang, XT (Shang, Xiaotong); Shen, JN (Shen, Jinni); Zhang, ZZ (Zhang, Zizhong); Wang, DB (Wang, Debao); Lin, JJ (Lin, Jinjin); Wu, JCS (Wu, Jeffrey C. S.); Fu, XZ (Fu, Xianzhi); Wang, XX (Wang, Xuxu); Li, C (Li, Can)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COMMUNICATIONS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11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3043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10.1038/s41467-020-16742-3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JUN 16 2020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171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172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stoichiometric photocatalytic reaction of CO2 with H2O is one of the great challenges in photocatalysis. Here, we construct a Cu2O-Pt/SiC/IrOx composite by a controlled photodeposition and then an artificial photosynthetic system with Nafion membrane as diaphragm separating reduction and oxidation half-reactions. The artificial system exhibits excellent photocatalytic performance for CO2 reduction to HCOOH and H2O oxidation to O-2 under visible light irradiation. The yields of HCOOH and O-2 meet almost stoichiometric ratio and are as high as 896.7 and 440.7 mu molg(-1)h(-1), respectively. The high efficiencies of CO2 reduction and H2O oxidation in the artificial system are attributed to both the direct Z-scheme electronic structure of Cu2O-Pt/SiC/IrOx and the indirect Z-scheme spatially separated reduction and oxidation units, which greatly prolong lifetime of photogenerated electrons and holes and prevent the backward reaction of products. This work provides an effective and feasible strategy to increase the efficiency of artificial photosynthesis.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WOS:000542988000007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Ying; Shang, Xiaotong; Shen, Jinni; Zhang, Zizhong; Lin, Jinjin; Fu, Xianzhi; Wang, Xuxu] Fuzhou Univ, Coll Chem, Res Inst Photocatalysis, State Key Lab Photocatalysis Energy &amp; Environm, Fuzhou 350108,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Ying; Wang, Debao] Qingdao Univ Sci &amp; Technol, Coll Chem &amp; Mol Engn, Key Lab Inorgan Synthet &amp; Appl Chem, State Key Lab Base Ecochem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Jeffrey C. S.] Natl Taiwan Univ, Dept Chem Engn, Taipei 10617, Taiwan.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Can] Chinese Acad Sci, Dalian Inst Chem Phys, State Key Lab Catalysis, Dalian 116023,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Zhang, ZZ; Wang, XX (通讯作者)，Fuzhou Univ, Coll Chem, Res Inst Photocatalysis, State Key Lab Photocatalysis Energy &amp; Environm, Fuzhou 350108,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JCS (通讯作者)，Natl Taiwan Univ, Dept Chem Engn, Taipei 10617, Taiwan.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C (通讯作者)，Chinese Acad Sci, Dalian Inst Chem Phys, State Key Lab Catalysis, Dalian 116023,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z.zhang@fzu.edu.cn; cswu@ntu.edu.tw; xwang@fzu.edu.cn; canli@dicp.ac.cn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Multidisciplinary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2041-1723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62"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39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Antifouling Strategies for Selective In Vitro and In Vivo Sensing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Jiang, C (Jiang, Cheng); Wang, GX (Wang, Guixiang); Hein, R (Hein, Robert); Liu, NZ (Liu, Nianzu); Luo, XL (Luo, Xiliang); Davis, JJ (Davis, Jason J.)</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CHEMICAL REVIEWS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120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8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3852-3889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10.1021/acs.chemrev.9b00739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22 2020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229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231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ability to fabricate sensory systems capable of highly selective operation in complex fluid will undoubtedly underpin key future developments in healthcare. However, the abundance of (bio)molecules in these samples can significantly impede performance at the transducing interface where nonspecific adsorption (fouling) can both block specific signal (reducing sensitivity) and greatly reduce assay specificity. Herein, we aim to provide a comprehensive review discussing concepts and recent advances in the construction of antifouling sensors that are, through the use of chemical, physical, or biological engineering, capable of operating in complex sample matrix (e.g., serum). We specifically highlight a range of molecular approaches to the construction of solid sensory interfaces (planar and nanoparticulate) and their characterization and performance in diverse in vitro and in vivo analyte (e.g., proteins, nucleic acids, cells, neuronal transmitters) detection applications via derived selective optical or electrochemical strategies. We specifically highlight those sensors that are capable of detection in complex media or those based on novel architectures/approaches. Finally, we provide perspectives on future developments in this rapidly evolving field.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WOS:000529143300007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Guixiang; Liu, Nianzu; Luo, Xiliang] Qingdao Univ Sci &amp; Technol, Coll Chem &amp; Mol Engn, Shandong Key Lab Biochem Anal,MOE, Key Lab Opt Elect Sensing &amp; Analyt Chem Life Sci,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[Jiang, Cheng; Hein, Robert; Davis, Jason J.] Univ Oxford, Dept Chem, Oxford OX1 3QZ, England.</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[Jiang, Cheng] Univ Oxford, Nuffield Dept Clin Neurosci, Oxford OX1 3QZ, England.</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Guixiang] Taishan Univ, Coll Chem &amp; Chem Engn, Tai An 271021,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Luo, XL (通讯作者)，Qingdao Univ Sci &amp; Technol, Coll Chem &amp; Mol Engn, Shandong Key Lab Biochem Anal,MOE, Key Lab Opt Elect Sensing &amp; Analyt Chem Life Sci,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Davis, JJ (通讯作者)，Univ Oxford, Dept Chem, Oxford OX1 3QZ, England.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xiliangluo@qust.edu.cn; jason.davis@chem.ox.ac.uk</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0009-2665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1520-6890</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63"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40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Construction of Fully Conjugated Covalent Organic Frameworks via Facile Linkage Conversion for Efficient Photoenzymatic Catalysis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Wang, YC (Wang, Yuancheng); Liu, H (Liu, Hui); Pan, QY (Pan, Qingyan); Wu, CY (Wu, Chenyu); Hao, WB (Hao, Wenbo); Xu, J (Xu, Jie); Chen, RZ (Chen, Renzeng); Liu, J (Liu, Jian); Li, ZB (Li, Zhibo); Zhao, YJ (Zhao, Yingjie)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JOURNAL OF THE AMERICAN CHEMICAL SOCIETY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142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13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5958-5963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10.1021/jacs.0c00923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1 2020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123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124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Covalent organic frameworks (COFs) with improved stability and extended pi-conjugation structure are highly desirable. Here, two imine-linked COFs were converted into ultrastable and pi-conjugated fused-aromatic thieno[3,2-c]pyridine-linked COFs (B-COF-2 and T-COF-2). The successful conversion was confirmed by infrared and solid-state C-13 NMR spectroscopies. Furthermore, the structures of thieno[3,2-c]pyridine-linked COFs were evaluated by TEM and PXRD. It is noted that a slight difference in the structure leads to totally different photoactivity. The fully pi-conjugated T-COF-2 containing triazine as the core exhibited an excellent photocatalytic NADH regeneration yield of 74% in 10 min.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WOS:000526393700010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Yuancheng; Liu, Hui; Pan, Qingyan; Wu, Chenyu; Hao, Wenbo; Xu, Jie; Chen, Renzeng; Li, Zhibo; Zhao, Yingjie] Qingdao Univ Sci &amp; Technol, Coll Polymer Sci &amp; Engn, Shandong Prov Educ Dept, Key Lab Biobased Polymer Mat,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Jian] Qingdao Univ Sci &amp; Technol, Coll Mat Sci &amp;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Li, ZB; Zhao, YJ (通讯作者)，Qingdao Univ Sci &amp; Technol, Coll Polymer Sci &amp; Engn, Shandong Prov Educ Dept, Key Lab Biobased Polymer Mat,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zbli@qust.edu.cn; yz@qust.edu.cn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0002-7863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1520-5126</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64"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41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Poly(N-isopropylacrylamide)-Based Thermoresponsive Composite Hydrogels for Biomedical Applications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Xu, XM (Xu, Xiaomin); Liu, Y (Liu, Yang); Fu, WB (Fu, Wenbo); Yao, MY (Yao, Mingyu); Ding, Z (Ding, Zhen); Xuan, JM (Xuan, Jiaming); Li, DX (Li, Dongxiang); Wang, SJ (Wang, Shengjie); Xia, YQ (Xia, Yongqing); Cao, MW (Cao, Meiwen)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POLYMERS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12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3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580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10.3390/polym12030580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MAR 2020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152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Poly(N-isopropylacrylamide) (PNIPAM)-based thermosensitive hydrogels demonstrate great potential in biomedical applications. However, they have inherent drawbacks such as low mechanical strength, limited drug loading capacity and low biodegradability. Formulating PNIPAM with other functional components to form composited hydrogels is an effective strategy to make up for these deficiencies, which can greatly benefit their practical applications. This review seeks to provide a comprehensive observation about the PNIPAM-based composite hydrogels for biomedical applications so as to guide related research. It covers the general principles from the materials choice to the hybridization strategies as well as the performance improvement by focusing on several application areas including drug delivery, tissue engineering and wound dressing. The most effective strategies include incorporation of functional inorganic nanoparticles or self-assembled structures to give composite hydrogels and linking PNIPAM with other polymer blocks of unique properties to produce copolymeric hydrogels, which can improve the properties of the hydrogels by enhancing the mechanical strength, giving higher biocompatibility and biodegradability, introducing multi-stimuli responsibility, enabling higher drug loading capacity as well as controlled release. These aspects will be of great help for promoting the development of PNIPAM-based composite materials for biomedical applications.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WOS:000525952000079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[Xu, Xiaomin; Liu, Yang; Yao, Mingyu; Ding, Zhen; Xuan, Jiaming; Wang, Shengjie; Xia, Yongqing; Cao, Meiwen] Univ Petr East China, State Key Lab Heavy Oil Proc, Qingdao 266580,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 Xiaomin; Liu, Yang; Yao, Mingyu; Ding, Zhen; Xuan, Jiaming; Wang, Shengjie; Xia, Yongqing; Cao, Meiwen] Univ Petr East China, Ctr Bioengn &amp; Biotechnol, Qingdao 266580,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Heze Vocat Coll, Heze Key Lab Water Pollut Treatment, Heze 274000,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Dongxiang] Qingdao Univ Sci &amp; Technol, Coll Chem &amp; Mol Engn, Shandong Key Lab Biochem Anal,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Cao, MW (通讯作者)，Univ Petr East China, State Key Lab Heavy Oil Proc, Qingdao 266580,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Cao, MW (通讯作者)，Univ Petr East China, Ctr Bioengn &amp; Biotechnol, Qingdao 266580,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xiaominxu719@163.com; yangliu8817@163.com; wenbo8109@163.com; 1803060126@s.upc.edu.cn; dingzhenshengwu@163.com; mr_xuanjam@163.com; lidx@qust.edu.cn; sjwang@upc.edu.cn; xiayq@upc.edu.cn; mwcao@upc.edu.cn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Polymer Science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Polymer Science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2073-4360</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65"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42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Large-Scale Synthesis of MOF-Derived Superporous Carbon Aerogels with Extraordinary Adsorption Capacity for Organic Solvents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Wang, CH (Wang, Chaohai); Kim, J (Kim, Jeonghun); Tang, J (Tang, Jing); Na, J (Na, Jongbeom); Kang, YM (Kang, Yong-Mook); Kim, M (Kim, Minjun); Lim, H (Lim, Hyunsoo); Bando, Y (Bando, Yoshio); Li, JS (Li, Jiansheng); Yamauchi, Y (Yamauchi, Yusuke)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ANGEWANDTE CHEMIE-INTERNATIONAL EDITION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59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5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2066-2070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10.1002/anie.201913719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DEC 2019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27 2020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203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207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Carbon aerogels (CAs) with 3D interconnected networks hold promise for application in areas such as pollutant treatment, energy storage, and electrocatalysis. In spite of this, it remains challenging to synthesize high-performance CAs on a large scale in a simple and sustainable manner. We report an eco-friendly method for the scalable synthesis of ultralight and superporous CAs by using cheap and widely available agarose (AG) biomass as the carbon precursor. Zeolitic imidazolate framework-8 (ZIF-8) with high porosity is introduced into the AG aerogels to increase the specific surface area and enable heteroatom doping. After pyrolysis under inert atmosphere, the ZIF-8/AG-derived nitrogen-doped CAs show a highly interconnected porous mazelike structure with a low density of 24 mg cm(-3), a high specific surface area of 516 m(2) g(-1), and a large pore volume of 0.58 cm(-3) g(-1). The resulting CAs exhibit significant potential for application in the adsorption of organic pollutants.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WOS:000502903300001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Chaohai; Li, Jiansheng] Nanjing Univ Sci &amp; Technol, Jiangsu Key Lab Chem Pollut Control &amp; Resources R, Sch Environm &amp; Biol Engn, Key Lab New Membrane Mat,Minist Ind &amp; Informat Te, Nanjing 210094, Jiangsu,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Jeonghun; Yamauchi, Yusuke] Qingdao Univ Sci &amp; Technol, Coll Chem &amp; Mol Engn, Key Lab Ecochem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Chaohai; Kim, Jeonghun; Tang, Jing; Na, Jongbeom; Kim, Minjun; Lim, Hyunsoo; Yamauchi, Yusuke] Univ Queensland,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Chaohai; Kim, Jeonghun; Tang, Jing; Na, Jongbeom; Kim, Minjun; Lim, Hyunsoo; Yamauchi, Yusuke] Univ Queensland,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[Kang, Yong-Mook] Korea Univ, Dept Mat Sci &amp; Engn, Seoul 02841, South Korea.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[Bando, Yoshio] Tianjin Univ, Inst Mol Plus, 92 Weijin Rd, Tianjin 300072,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[Bando, Yoshio] Univ Wollongong, Australian Inst Innovat Mat, Squires Way, North Wollongong, NSW 2500,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[Bando, Yoshio; Yamauchi, Yusuke] Natl Inst Mat Sci, Int Ctr Mat Nanoarchitecton MANA, 1-1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Yusuke] Kyung Hee Univ, Dept Plant &amp; Environm New Resources, 1732 Deogyeong Daero, Yongin 446701, Gyeonggi Do, South Korea.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Jeonghun] Kookmin Univ, Dept Chem, 77 Jeongneung Ro, Seoul 02707,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Li, JS (通讯作者)，Nanjing Univ Sci &amp; Technol, Jiangsu Key Lab Chem Pollut Control &amp; Resources R, Sch Environm &amp; Biol Engn, Key Lab New Membrane Mat,Minist Ind &amp; Informat Te, Nanjing 210094, Jiangsu,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(通讯作者)，Qingdao Univ Sci &amp; Technol, Coll Chem &amp; Mol Engn, Key Lab Ecochem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(通讯作者)，Univ Queensland,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(通讯作者)，Univ Queensland,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(通讯作者)，Natl Inst Mat Sci, Int Ctr Mat Nanoarchitecton MANA, 1-1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(通讯作者)，Kyung Hee Univ, Dept Plant &amp; Environm New Resources, 1732 Deogyeong Daero, Yongin 446701, Gyeonggi Do,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lijsh@njust.edu.cn; y.yamauchi@uq.edu.au</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1433-7851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1521-3773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66"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43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An Engineered Superhydrophilic/Superaerophobic Electrocatalyst Composed of the Supported CoMoSx Chalcogel for Overall Water Splitting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Shan, XY (Shan, Xinyao); Liu, J (Liu, Jian); Mu, HR (Mu, Haoran); Xiao, Y (Xiao, Yao); Mei, BB (Mei, Bingbao); Liu, WG (Liu, Wengang); Lin, G (Lin, Gang); Jiang, Z (Jiang, Zheng); Wen, LP (Wen, Liping); Jiang, L (Jiang, Lei)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ANGEWANDTE CHEMIE-INTERNATIONAL EDITION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59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4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1659-1665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10.1002/anie.201911617  </w:t>
            </w:r>
            <w:r>
              <w:rPr>
                <w:rFonts w:hint="eastAsia" w:ascii="微软雅黑" w:hAnsi="微软雅黑" w:eastAsia="微软雅黑" w:cs="宋体"/>
                <w:b/>
                <w:bCs/>
                <w:kern w:val="0"/>
                <w:sz w:val="18"/>
                <w:szCs w:val="18"/>
              </w:rPr>
              <w:t>提前访问日期:</w:t>
            </w:r>
            <w:r>
              <w:rPr>
                <w:rFonts w:hint="eastAsia" w:ascii="微软雅黑" w:hAnsi="微软雅黑" w:eastAsia="微软雅黑" w:cs="宋体"/>
                <w:kern w:val="0"/>
                <w:sz w:val="18"/>
                <w:szCs w:val="18"/>
              </w:rPr>
              <w:t> DEC 2019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20 2020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183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186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development of high-efficiency electrocatalysts for large-scale water splitting is critical but also challenging. In this study, a hierarchical CoMoSx chalcogel was synthesized on a nickel foam (NF) through an in situ metathesis reaction and demonstrated excellent activity and stability in the electrocatalytic hydrogen evolution reaction and oxygen evolution reaction in alkaline media. The high catalytic activity could be ascribed to the abundant active sites/defects in the amorphous framework and promotion of activity through cobalt doping. Furthermore, the superhydrophilicity and superaerophobicity of micro-/nanostructured CoMoSx/NF promoted mass transfer by facilitating access of electrolytes and ensuring fast release of gas bubbles. By employing CoMoSx/NF as bifunctional electrocatalysts, the overall water splitting device delivered a current density of 500 mA cm(-2) at a low voltage of 1.89 V and maintained its activity without decay for 100 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WOS:000500211600001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[Shan, Xinyao; Liu, Jian; Mu, Haoran; Xiao, Yao; Liu, Wengang; Lin, Gang] Qingdao Univ Sci &amp; Technol, Coll Mat Sci &amp;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[Wen, Liping; Jiang, Lei] Chinese Acad Sci, Tech Inst Phys &amp; Chem, CAS Key Lab Bioinspired Mat &amp; Interfacial Sci, Beijing 100190,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[Mei, Bingbao; Jiang, Zheng] Chinese Acad Sci, Shanghai Inst Appl Phys, Shanghai 201204,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Liu, J (通讯作者)，Qingdao Univ Sci &amp; Technol, Coll Mat Sci &amp;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Wen, LP (通讯作者)，Chinese Acad Sci, Tech Inst Phys &amp; Chem, CAS Key Lab Bioinspired Mat &amp; Interfacial Sci, Beijing 100190,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liujian@qust.edu.cn; wen@mail.ipc.ac.cn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1433-7851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1521-3773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67"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44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Zinc anode-compatible in-situ solid electrolyte interphase via cation solvation modulation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Qiu, HY (Qiu, Huayu); Du, XF (Du, Xiaofan); Zhao, JW (Zhao, Jingwen); Wang, YT (Wang, Yantao); Ju, JW (Ju, Jiangwei); Chen, Z (Chen, Zheng); Hu, ZL (Hu, Zhenglin); Yan, DP (Yan, Dongpeng); Zhou, XH (Zhou, Xinhong); Cui, GL (Cui, Guanglei)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COMMUNICATIONS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10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5374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10.1038/s41467-019-13436-3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NOV 26 2019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421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425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surface chemistry of solid electrolyte interphase is one of the critical factors that govern the cycling life of rechargeable batteries. However, this chemistry is less explored for zinc anodes, owing to their relatively high redox potential and limited choices in electrolyte. Here, we report the observation of a zinc fluoride-rich organic/inorganic hybrid solid electrolyte interphase on zinc anode, based on an acetamide-Zn(TFSI)(2) eutectic electrolyte. A combination of experimental and modeling investigations reveals that the presence of anioncomplexing zinc species with markedly lowered decomposition energies contributes to the in situ formation of an interphase. The as-protected anode enables reversible (similar to 100% Coulombic efficiency) and dendrite-free zinc plating/stripping even at high areal capacities (&gt;2.5 mAh cm(-2)), endowed by the fast ion migration coupled with high mechanical strength of the protective interphase. With this interphasial design the assembled zinc batteries exhibit excellent cycling stability with negligible capacity loss at both low and high rates.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WOS:000498795200001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[Qiu, Huayu; Du, Xiaofan; Zhao, Jingwen; Wang, Yantao; Ju, Jiangwei; Chen, Zheng; Hu, Zhenglin; Cui, Guanglei] Chinese Acad Sci, Qingdao Ind Energy Storage Res Inst, Qingdao Inst Bioenergy &amp; Bioproc Technol, Qingdao 266101,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[Qiu, Huayu; Zhou, Xinhong] Qingdao Univ Sci &amp; Technol, Coll Chem &amp; Mol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[Yan, Dongpeng] Beijing Normal Univ, Coll Chem, Beijing Key Lab Energy Convers &amp; Storage Mat, Beijing 100875,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Zhao, JW; Cui, GL (通讯作者)，Chinese Acad Sci, Qingdao Ind Energy Storage Res Inst, Qingdao Inst Bioenergy &amp; Bioproc Technol, Qingdao 266101,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Zhou, XH (通讯作者)，Qingdao Univ Sci &amp; Technol, Coll Chem &amp; Mol Engn,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zhaojw@qibebt.ac.cn; zhouxinhong@qust.edu.cn; cuigl@qibebt.ac.cn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Multidisciplinary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2041-1723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68"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45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Synthesis of fish skin-derived 3D carbon foams with broadened bandwidth and excellent electromagnetic wave absorption performance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Zhou, XF (Zhou, Xinfeng); Jia, ZR (Jia, Zirui); Feng, AL (Feng, Ailing); Wang, XX (Wang, Xiaoxiao); Liu, JJ (Liu, Jiajia); Zhang, M (Zhang, Meng); Cao, HJ (Cao, Haijie); Wu, GL (Wu, Guanglei)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CARBON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152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827-836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10.1016/j.carbon.2019.06.080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NOV 2019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271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274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novel three-dimensional (3D) co-doped carbon foam was fabricated via a facile hydrothermal and subsequent pyrolysis process using fish skin as carbon precursor. The fish-derived carbon foam (CFs) obtained at 650 degrees C (CFs-650) possesses large specific surface area of 1369.3 m(2)/g with natural inherited micropore-dominate porosity. Moreover, the heteroatoms O and N in the fish skin are uniformly planted into the carbon frameworks, which is highly advantageous for the attenuation of microwave energy. The unique architecture endows the 3D carbon foam with impressive microwave absorbing property. Especially, the broadest bandwidth (RL &lt; -10 dB) of CFs-650 can be up to 8.6 GHz (9.4-18 GHz) at 3 mm with the minimum reflection loss (RL) of -33.5 dB. The optimal RL of CFs-650 is -52.6 dB at 15.8 GHz with the matching thickness of 2.6 mm. The mechanism of the microwave absorption of the carbon foam is attributed to electric conductive loss, interfacial polarization relaxation, multiple reflections and scattering. The low-cost and eco-friendly carbon foam has great potential for application of microwave absorption. (C) 2019 Elsevier Ltd. All rights reserved.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WOS:000483384900089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[Zhou, Xinfeng; Jia, Zirui; Wang, Xiaoxiao; Liu, Jiajia; Cao, Haijie; Wu, Guanglei] Qingdao Univ, Coll Mat Sci &amp; Engn, State Key Lab Biofibers &amp; Ecotext, Inst Mat Energy &amp; Environm, Qingdao 266071,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[Zhang, Meng] Qingdao Univ Sci &amp; Technol, Key Lab Polymer Mat Adv Mfg Technol Shandong Prov, Coll Electromech Engn, Qingdao 266061,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[Feng, Ailing] Baoji Univ Arts &amp; Sci, Inst Phys &amp; Optoelect Technol, Baoji 721016,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Wu, GL (通讯作者)，Qingdao Univ, Coll Mat Sci &amp; Engn, State Key Lab Biofibers &amp; Ecotext, Inst Mat Energy &amp; Environm, Qingdao 266071,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wuguanglei@mail.xjtu.edu.cn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Materials Science,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Materials Science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0008-6223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1873-3891</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69"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46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Pore-tuning to boost the electrocatalytic activity of polymeric micelle-templated mesoporous Pd nanoparticles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 CL (Li, Cuiling); Iqbal, M (Iqbal, Muhammad); Jiang, B (Jiang, Bo); Wang, ZL (Wang, Zhongli); Kim, J (Kim, Jeonghun); Nanjundan, AK (Nanjundan, Ashok Kumar); Whitten, AE (Whitten, Andrew E.); Wood, K (Wood, Kathleen); Yamauchi, Y (Yamauchi, Yusuke)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CHEMICAL SCIENCE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14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4054-4061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10.1039/c8sc03911a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14 2019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162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162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Understanding how mesoporous noble metal architectures affect electrocatalytic performance is very important for the rational design and preparation of high-performance electrocatalysts. Herein, by using polymeric micelle-assembled structures as templates, mesoporous Pd nanoparticles with tunable porous constructions are synthesized by simply tuning the solvent compositions. The effect of porous Pd nanoparticles on the electrocatalytic performance is thoroughly studied. Their superior electrocatalytic activity can be attributed to the mass transport efficiency and open porous structures.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WOS:000467988600014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 Cuiling] Beijing Inst Technol, Sch Chem &amp; Chem Engn, Beijing 100081,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[Iqbal, Muhammad; Kim, Jeonghun; Yamauchi, Yusuke] QUST, Key Lab Ecochem Engn, Coll Chem &amp; Mol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[Iqbal, Muhammad; Jiang, Bo; Wang, Zhongli] NIMS, Int Ctr Mat Nanoarchitecton WPI MANA, 1-1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Jeonghun; Nanjundan, Ashok Kumar; Yamauchi, Yusuke] Univ Queensland,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Jeonghun; Nanjundan, Ashok Kumar; Yamauchi, Yusuke] Univ Queensland,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[Whitten, Andrew E.; Wood, Kathleen] ANSTO, New Illawarra Rd, Lucas Heights, NSW 2234,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Yusuke] Kyung Hee Univ, Dept Plant &amp; Environm New Resources, 1732 Deogyeong Daero, Yongin 446701, Gyeonggi Do,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Yamauchi, Y (通讯作者)，QUST, Key Lab Ecochem Engn, Coll Chem &amp; Mol Engn,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(通讯作者)，Univ Queensland,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(通讯作者)，Univ Queensland,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(通讯作者)，Kyung Hee Univ, Dept Plant &amp; Environm New Resources, 1732 Deogyeong Daero, Yongin 446701, Gyeonggi Do,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y.yamauchi@uq.edu.au</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2041-6520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2041-6539</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70"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47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Fully Conjugated Two-Dimensional sp(2)-Carbon Covalent Organic Frameworks as Artificial Photosystem I with High Efficiency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Zhao, YJ (Zhao, Yingjie); Liu, H (Liu, Hui); Wu, CY (Wu, Chenyu); Zhang, ZH (Zhang, Zhaohui); Pan, QY (Pan, Qingyan); Hu, F (Hu, Fan); Wang, RM (Wang, Ruiming); Li, PW (Li, Piwu); Huang, XW (Huang, Xiaowen); Li, ZB (Li, Zhibo)</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ANGEWANDTE CHEMIE-INTERNATIONAL EDITION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58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16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5376-5381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10.1002/anie.201901194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8 2019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176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178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synthesis of fully conjugated sp(2)-carbon covalent organic frameworks (COF) is extremely challenging given the difficulty of the formation of very stable carbon-carbon double bonds (-C=C-). Here, we report the successfid preparation of a 2D COF (TP-COF) based on triazine as central planar units bridged by sp(2)-carbon linkers through the -C=C-condensation reaction. High-resolution-transmission electron microscopy (HRTEM) clearly confirmed the tessellated hexagonal pore structure with a pore center-to-center distance of 2 nm. Powder X-ray diffraction (PXRD) together with structural simulations revealed an AA stacking mode of the obtained layered structure. TP-COF turned out to be an excellent semiconductor material with a LUMO energy of -3.23 eV and a band gap of 2.36 eV. Excitingly, this novel sp(2) carbon conjugated TP-COF exhibited unprecedented coenzyme regeneration efficiency and can significantly boost the coenzyme-assisted synthesis of L-glutamate to a record-breaking 97 % yield within 12 minutes.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WOS:000463975300036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[Zhao, Yingjie; Liu, Hui; Wu, Chenyu; Zhang, Zhaohui; Pan, Qingyan; Hu, Fan; Li, Zhibo] Qingdao Univ Sci &amp; Technol, Coll Polymer Sci &amp; Engn, Shandong Prov Educ Dept, Key Lab Biobased Polymer Mat,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Ruiming; Li, Piwu; Huang, Xiaowen] Qilu Univ Technol, Shandong Acad Sci, Dept Bioengn, State Key Lab Biobased Mat &amp; Green Papermaking,Sh, Jinan 250353,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Zhao, YJ; Li, ZB (通讯作者)，Qingdao Univ Sci &amp; Technol, Coll Polymer Sci &amp; Engn, Shandong Prov Educ Dept, Key Lab Biobased Polymer Mat, Qingdao 266042,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Huang, XW (通讯作者)，Qilu Univ Technol, Shandong Acad Sci, Dept Bioengn, State Key Lab Biobased Mat &amp; Green Papermaking,Sh, Jinan 250353,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yz@qust.edu.cn; huangxiaowen2013@gmail.com; zbli@qust.edu.cn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1433-7851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1521-3773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71"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48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Hydrogen bond activation strategy for cyclic carbonates synthesis from epoxides and CO2: current state-of-the art of catalyst development and reaction analysis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Liu, MS (Liu, Mengshuai); Wang, X (Wang, Xin); Jiang, YC (Jiang, Yichen); Sun, JM (Sun, Jianmin); Arai, M (Arai, Masahiko)</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CATALYSIS REVIEWS-SCIENCE AND ENGINEERING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61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2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214-269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10.1080/01614940.2018.1550243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3 2019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165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167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Chemical fixation of CO2 into useful organic compounds has been attracting much attention from the viewpoint of CO2 emission reduction and energy structure reformation. A useful and widely investigated chemical utilization of CO2 is the cycloaddition of CO2 to epoxides for the synthesis of cyclic carbonates. Efforts have been paid to the design and preparation of various catalyst systems that are active and selective to the production of the desired products under mild conditions and in green processes. This article is to review the current state of the catalyst development and the experimental and theoretical analysis of reaction mechanism for the cyclic carbonate synthesis from epoxides, one of currently important reactions involving CO2 as a reactant with 100% atom economy. Particular attention is given to the catalysis of multifunctional catalyst systems such as metal- and hydrogen-bond donor (HBD)-based catalysts.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WOS:000467979100002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[Liu, Mengshuai; Wang, Xin; Jiang, Yichen; Sun, Jianmin] Harbin Inst Technol, Sch Chem &amp; Chem Engn, MIIT Key Lab Crit Mat Technol New Energy Convers, State Key Lab Urban Water Resource &amp; Environm, Harbin 150080, Heilongjiang,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Mengshuai] Qingdao Univ Sci &amp; Technol, Coll Chem Engn, Qingdao,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[Arai, Masahiko] Chinese Acad Sci, Changchun Inst Appl Chem, Lab Green Chem &amp; Proc, Changchun, Jilin,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Sun, JM (通讯作者)，Harbin Inst Technol, Sch Chem &amp; Chem Engn, MIIT Key Lab Crit Mat Technol New Energy Convers, State Key Lab Urban Water Resource &amp; Environm, Harbin 150080, Heilongjiang,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sunjm@hit.edu.cn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0161-4940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1520-5703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72"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49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An enzyme-free molecular catalytic device: dynamically self-assembled DNA dendrimers for in situ imaging of microRNAs in live cells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Yue, SZ (Yue, Shuzhen); Song, XY (Song, Xinyue); Song, WL (Song, Weiling); Bi, S (Bi, Sai)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CHEMICAL SCIENCE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6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1651-1658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10.1039/c8sc04756a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FEB 14 2019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141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142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DNA has become a promising material to construct high-order structures and molecular devices owing to its sequence programmability. Herein, a DNA machine based on branched catalytic hairpin assembly (bCHA) is introduced for dynamic self-assembly of DNA dendrimers. For this system, a Y-shaped hairpin trimer tethered with three kinds of hairpins (H1, H2 and H3) is constructed. The introduction of an initiator (I) triggers a cascade of CHA reactions among hairpin trimers, leading to the formation of DNA dendrimers. Through labeling fluorophore/quencher pairs in the hairpin trimers, this catalytic DNA machine is applied as a versatile amplification platform to analyze nucleic acids using microRNA-155 (miR-155) as a model analyte. Benefiting from the "diffusion effect", the proposed bCHA achieves a greatly improved sensitivity in comparison with traditional CHA. This catalytic amplifier exhibits high sensitivity toward miR-155 detection with a dynamic range from 2.5 nM to 500 nM and demonstrates excellent selectivity to distinguish the single-base mismatched sequence from the perfectly complementary one, which is further applied to detect low-abundance miR-155 spiked in complex matrices with minimal interference. This method is further applied for in situ imaging of miR-155 in different live cells. The bCHA reaction can be specifically triggered by intracellular miR-155, achieving monitoring of the dynamic miRNA expression and distribution. Overall, our proposed enzyme-free dynamic DNA self-assembly strategy provides a versatile approach for the development of DNA nanotechnology in biosensing and bioimaging, and monitoring the cellular miRNA-related biological events.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WOS:000458024700005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[Yue, Shuzhen; Bi, Sai] Qingdao Univ, Coll Chem &amp; Chem Engn, Qingdao 266071,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[Song, Xinyue] Linyi Univ, Shandong Prov Key Lab Detect Technol Tumor Makers, Coll Chem &amp; Chem Engn, Linyi 276000,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[Song, Weiling] Qingdao Univ Sci &amp; Technol, Lab Opt Elect Sensing &amp; Analyt Chem Life Sci, Key Lab Analyt Chem Life Sci Univ Shandong, MOE,Shandong Key Lab Biochem Anal,Coll Chem &amp; Mol,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Bi, S (通讯作者)，Qingdao Univ, Coll Chem &amp; Chem Engn, Qingdao 266071,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bisai11@126.com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2041-6520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2041-6539</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73"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50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NH2-MIL-101(Fe)/Ni(OH)(2)-derived C,N-codoped Fe2P/Ni2P cocatalyst modified g-C3N4 for enhanced photocatalytic hydrogen evolution from water splitting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Xu, JX (Xu, Jixiang); Qi, YH (Qi, Yinhong); Wang, C (Wang, Chao); Wang, L (Wang, Lei)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APPLIED CATALYSIS B-ENVIRONMENTAL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241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178-186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10.1016/j.apcatb.2018.09.035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FEB 2019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142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145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Constructing appropriate cocatalysts to modify semiconductors while maintaining tight interface for charge separation facilitation is important for improving photocatalytic hydrogen production. Thus, in this work, C,N-codoped Fe2P/Ni2P (CN/FeNiP) polyhedrons derived from NH2-MIL-101(Fe)/Ni (OH)(2) were used as cocatalysts to modify graphitic carbon nitride (g-C3N4) for photocatalytic hydrogen production from water splitting under visible-light irradiation. The highest evolution rate observed over CN/FeNiP/g-C3N4 was 13.81 mmol g(-1)h(-1) under 1.0 mmol L-1 of Eosin Y (EY) sensitization (compared to 0.196 mmol g(-1) h(-1) without EY sensitization), which was about 10 and 5 times higher than that of g-C3N4(1.33 mmol g(-1)h(-1)) and CN/FeP/g-C3N4(2.73 mmol h(-1)). The apparent quantum yield at 420 nm reached 45.8%. A detail analysis of the mechanism revealed that the improved photocatalytic activity can be ascribed to highly efficient spatial separation of photoinduced charges from the excited EY and g-C(3)N(4 )to CN/FeNiP with tight interface, staggered band energy between g-C3N4, CN/Fe2P and Ni2P as well as accelerated surface reaction by CN/FeNiP cocatalysts. This work demonstrates that MOF-derived hybrid hollow metal phosphide can be good substitutes for noble metal catalysts for photocatalytic hydrogen production.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WOS:000449444000019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[Xu, Jixiang; Qi, Yinhong; Wang, Chao; Wang, Lei] Qingdao Univ Sci &amp; Technol, Coll Chem &amp; Mol Engn, Key Lab Ecochem Engn, Taishan Scholar Adv &amp; Characterist Discipline,Tea,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Wang, L (通讯作者)，Qingdao Univ Sci &amp; Technol, Coll Chem &amp; Mol Engn, Key Lab Ecochem Engn, Taishan Scholar Adv &amp; Characterist Discipline,Tea,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inorchemwl@126.com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Engineering, Environmental;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0926-3373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1873-3883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74"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51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Carbon-Supported Divacancy-Anchored Platinum Single-Atom Electrocatalysts with Superhigh Pt Utilization for the Oxygen Reduction Reaction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Liu, J (Liu, Jing); Jiao, MG (Jiao, Menggai); Mei, BB (Mei, Bingbao); Tong, YX (Tong, Yuxin); Li, YP (Li, Yuping); Ruan, MB (Ruan, Mingbo); Song, P (Song, Ping); Sun, GQ (Sun, Gongquan); Jiang, LH (Jiang, Luhua); Wang, Y (Wang, Ying); Jiang, Z (Jiang, Zheng); Gu, L (Gu, Lin); Zhou, Z (Zhou, Zhen); Xu, WL (Xu, Weilin)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ANGEWANDTE CHEMIE-INTERNATIONAL EDITION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58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4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1163-1167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10.1002/anie.201812423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21 2019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225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232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Maximizing the platinum utilization in electrocatalysts toward oxygen reduction reaction (ORR) is very desirable for large-scale sustainable application of Pt in energy systems. A cost-effective carbon-supported carbon-defect-anchored platinum single-atom electrocatalysts (Pt-1/C) with remarkable ORR performance is reported. An acidic H-2/O-2 single cell with Pt-1/C as cathode delivers a maximum power density of 520 mW cm(-2) at 80 degrees C, corresponding to a superhigh platinum utilization of 0.09 g(Pt) kW(-1). Further physical characterization and density functional theory computations reveal that single Pt atoms anchored stably by four carbon atoms in carbon divacancies (Pt-C-4) are the main active centers for the observed high ORR performance.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WOS:000456260200037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[Liu, Jing; Ruan, Mingbo; Song, Ping; Xu, Weilin] Chinese Acad Sci, Changchun Inst Appl Chem, Jilin Prov Key Lab Low Carbon Chem Power, State Key Lab Electroanalyt Chem, 5625 Renmin St, Changchun 130022, Jilin,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[Liu, Jing; Mei, Bingbao] Univ Chinese Acad Sci, Beijing 100049,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[Jiao, Menggai; Zhou, Zhen] Nankai Univ, Inst New Energy Mat Chem, Sch Mat Sci &amp; Engn, Tianjin 300350,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[Mei, Bingbao; Jiang, Zheng] Chinese Acad Sci, Shanghai Inst Appl Phys, Shanghai Synchrotron Radiat Facil, Shanghai 201204,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[Tong, Yuxin; Gu, Lin] Univ Chinese Acad Sci, Sch Phys Sci, Beijing 100049,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Yuping; Sun, Gongquan; Jiang, Luhua] Chinese Acad Sci, Dalian Inst Chem Phys, Dalian Natl Lab Clean Energy, Div Fuel Cell &amp; Battery, Dalian 116023,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[Jiang, Luhua] Qingdao Univ Sci &amp; Technol, Coll Mat Sci &amp;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Ying] Chinese Acad Sci, Changchun Inst Appl Chem, State Key Lab Rare Earth Resource Utilizat, Changchun 130022, Jilin,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[Gu, Lin] Chinese Acad Sci, Inst Phys, Beijing 100190,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Xu, WL (通讯作者)，Chinese Acad Sci, Changchun Inst Appl Chem, Jilin Prov Key Lab Low Carbon Chem Power, State Key Lab Electroanalyt Chem, 5625 Renmin St, Changchun 130022, Jilin,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Zhou, Z (通讯作者)，Nankai Univ, Inst New Energy Mat Chem, Sch Mat Sci &amp; Engn, Tianjin 300350,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zhouzhen@nankai.edu.cn; weilinxu@ciac.ac.cn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1433-7851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1521-3773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75"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52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Overall water splitting by graphdiyne-exfoliated and -sandwiched layered double-hydroxide nanosheet arrays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Hui, L (Hui, Lan); Xue, YR (Xue, Yurui); Huang, BL (Huang, Bolong); Yu, HD (Yu, Huidi); Zhang, C (Zhang, Chao); Zhang, DY (Zhang, Danyan); Jia, DZ (Jia, Dianzeng); Zhao, YJ (Zhao, Yingjie); Li, YJ (Li, Yongjun); Liu, HB (Liu, Huibiao); Li, YL (Li, Yuliang)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NATURE COMMUNICATIONS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9  </w:t>
            </w:r>
            <w:r>
              <w:rPr>
                <w:rFonts w:hint="eastAsia" w:ascii="微软雅黑" w:hAnsi="微软雅黑" w:eastAsia="微软雅黑" w:cs="宋体"/>
                <w:b/>
                <w:bCs/>
                <w:kern w:val="0"/>
                <w:sz w:val="18"/>
                <w:szCs w:val="18"/>
              </w:rPr>
              <w:t>文献号:</w:t>
            </w:r>
            <w:r>
              <w:rPr>
                <w:rFonts w:hint="eastAsia" w:ascii="微软雅黑" w:hAnsi="微软雅黑" w:eastAsia="微软雅黑" w:cs="宋体"/>
                <w:kern w:val="0"/>
                <w:sz w:val="18"/>
                <w:szCs w:val="18"/>
              </w:rPr>
              <w:t> 5309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10.1038/s41467-018-07790-x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DEC 14 2018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243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247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It is of great urgency to develop efficient, cost-effective, stable and industrially applicable electrocatalysts for renewable energy systems. But there are still few candidate materials. Here we show a bifunctional electrocatalyst, comprising graphdiyne-exfoliated and -sandwiched iron/cobalt layered double-hydroxide nanosheet arrays grown on nickel foam, for the oxygen and hydrogen evolution reactions. Theoretical and experimental data revealed that the charge transport kinetics of the structure were superior to iron/cobalt layered doublehydroxide, a prerequisite for improved electrocatalytic performance. The incorporation with graphdiyne increased the number of catalytically active sites and prevented corrosion, leading to greatly enhanced electrocatalytic activity and stability for oxygen evolution reaction, hydrogen evolution reaction, as well as overall water splitting. Our results suggest that the use of graphdiyne might open up new pathways for the design and fabrication of earth-abundant, efficient, functional, and smart electrode materials with practical applications.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WOS:000453244200001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[Hui, Lan; Xue, Yurui; Yu, Huidi; Zhang, Chao; Zhang, Danyan; Zhao, Yingjie; Li, Yongjun; Liu, Huibiao; Li, Yuliang] Chinese Acad Sci, Inst Chem, Key Lab Organ Solids, Beijing 100190,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[Hui, Lan; Jia, Dianzeng] Xinjiang Univ, Minist Educ, Key Lab Energy Mat Chem, Urumqi 830046,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[Hui, Lan; Jia, Dianzeng] Xinjiang Univ, Key Lab Adv Funct Mat, Urumqi 830046,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[Hui, Lan; Jia, Dianzeng] Xinjiang Univ, Inst Appl Chem, Urumqi 830046,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[Xue, Yurui; Zhao, Yingjie; Li, Yuliang] Qingdao Univ Sci &amp; Technol, Sch Polymer Sci &amp;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[Huang, Bolong] Hong Kong Polytech Univ, Dept Appl Biol &amp; Chem Technol, Hong Kong,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Yuliang] Univ Chinese Acad Sci, Beijing 100049,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Xue, YR; Li, YL (通讯作者)，Chinese Acad Sci, Inst Chem, Key Lab Organ Solids, Beijing 100190,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 DZ (通讯作者)，Xinjiang Univ, Minist Educ, Key Lab Energy Mat Chem, Urumqi 830046,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 DZ (通讯作者)，Xinjiang Univ, Key Lab Adv Funct Mat, Urumqi 830046,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Jia, DZ (通讯作者)，Xinjiang Univ, Inst Appl Chem, Urumqi 830046,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Xue, YR; Li, YL (通讯作者)，Qingdao Univ Sci &amp; Technol, Sch Polymer Sci &amp;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YL (通讯作者)，Univ Chinese Acad Sci, Beijing 100049,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xueyurui@iccas.ac.cn; jdz@xju.edu.cn; ylli@iccas.ac.cn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Multidisciplinary Sciences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Science &amp; Technology - Other Topics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2041-1723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76"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53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Metal-Free C(sp(2))-H/N-H Cross-Dehydrogenative Coupling of Quinoxalinones with Aliphatic Amines under Visible-Light Photoredox Catalysis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Wei, W (Wei, Wei); Wang, LL (Wang, Leilei); Bao, PL (Bao, Pengli); Shao, Y (Shao, Yun); Yue, HL (Yue, Huilan); Yang, DS (Yang, Daoshan); Yang, XB (Yang, Xiaobo); Zhao, XH (Zhao, Xiaohui); Wang, H (Wang, Hua)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ORGANIC LETTERS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20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22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7125-7130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10.1021/acs.orglett.8b03079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NOV 16 2018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204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203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A novel and efficient visible-light-induced C(sp(2))-H/N-H cross-dehydrogenative coupling (CDC)-amination with both primary and secondary aliphatic amines at room temperature in air is developed. This photocatalytic reaction allows the direct formation of 3-aminoquinoxalin-2(1H)-ones via CDC-amination in the absence of any external oxidant added from outside. Preliminary mechanistic studies reveal that the present reaction proceeds through a radical process.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WOS:000451101500033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[Wei, Wei; Wang, Leilei; Bao, Pengli; Yang, Daoshan; Wang, Hua] Qufu Normal Univ, Sch Chem &amp; Chem Engn, Qufu 273165,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[Wei, Wei; Shao, Yun; Yue, Huilan; Zhao, Xiaohui] Chinese Acad Sci, Northwest Inst Plateau Biol, Qinghai Prov Key Lab Tibetan Med Res, Qinghai 810008,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[Wei, Wei; Shao, Yun; Yue, Huilan; Zhao, Xiaohui] Chinese Acad Sci, Key Lab Tibetan Med Res, Qinghai 810008,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[Wei, Wei; Yang, Daoshan] Qingdao Univ Sci &amp; Technol, Coll Chem &amp; Mol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[Yang, Xiaobo] Shenyang Normal Univ, Coll Chem &amp; Chem Engn, Shenyang 110034, Liaoning,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Wei, W (通讯作者)，Qufu Normal Univ, Sch Chem &amp; Chem Engn, Qufu 273165, Shandong,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Wei, W; Zhao, XH (通讯作者)，Chinese Acad Sci, Northwest Inst Plateau Biol, Qinghai Prov Key Lab Tibetan Med Res, Qinghai 810008,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Wei, W; Zhao, XH (通讯作者)，Chinese Acad Sci, Key Lab Tibetan Med Res, Qinghai 810008,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Wei, W (通讯作者)，Qingdao Univ Sci &amp; Technol, Coll Chem &amp; Mol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weiweiqfnu@163.com; xhzhao@nwipb.cas.cn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Organic</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1523-7060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1523-7052</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77"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54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Visible-Light Driven Overall Conversion of CO2 and H2O to CH4 and O-2 on 3D-SiC@2D-MoS2 Heterostructure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Wang, Y (Wang, Ying); Zhang, ZZ (Zhang, Zizhong); Zhang, LN (Zhang, Lina); Luo, ZB (Luo, Zhongbin); Shen, JN (Shen, Jinni); Lin, HX (Lin, Huaxiang); Long, JL (Long, Jinlin); Wu, JCS (Wu, Jeffrey C. S.); Fu, XZ (Fu, Xianzhi); Wang, XX (Wang, Xuxu); Li, C (Li, Can)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JOURNAL OF THE AMERICAN CHEMICAL SOCIETY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140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44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14595-14598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10.1021/jacs.8b09344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NOV 7 2018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298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300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A marigold-like SiC@MoS2 nanoflower with a unique Z-scheme structure efficiently achieves the overall conversion of gas phase CO2 with H2O (CO2 (g) + 2H(2)O (g) = CH4 + 2O(2)) without any sacrificial reagents under visible light (lambda &gt;= 420 nm) irradiation. The CH4 and O-2 evolution are 323 and 621 mu L-g-(1).h(-1), and stable throughout 5 cycle reactions of total 40 h. This work demonstrates a breakthrough in artificial photosynthesis with the Z-scheme 1D heterojunction constructed by combining 2D semiconductor and 3D semiconductor based on the transfer balance of photogenerated electron and hole.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WOS:000449887800015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Ying; Zhang, Zizhong; Zhang, Lina; Luo, Zhongbin; Shen, Jinni; Lin, Huaxiang; Long, Jinlin; Fu, Xianzhi; Wang, Xuxu] Fuzhou Univ, Coll Chem, State Key Lab Photocatalysis Energy &amp; Environm, Fuzhou 350108, Fujian,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Ying] Qingdao Univ Sci &amp; Technol, Coll Chem &amp; Mol Engn, Key Lab Inorgan Synthet &amp; Appl Chem, State Key Lab Base Ecochem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Jeffrey C. S.] Natl Taiwan Univ, Dept Chem Engn, Taipei 10617, Taiwan.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Can] Chinese Acad Sci, Dalian Inst Chem Phys, State Key Lab Catalysis, Dalian 116023,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Zhang, ZZ; Wang, XX (通讯作者)，Fuzhou Univ, Coll Chem, State Key Lab Photocatalysis Energy &amp; Environm, Fuzhou 350108, Fujian,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C (通讯作者)，Chinese Acad Sci, Dalian Inst Chem Phys, State Key Lab Catalysis, Dalian 116023,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z.zhang@fzu.edu.cn; xwang@fzu.edu.cn; canli@dicp.ac.cn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0002-7863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78"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55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Mesoporous Metallic Iridium Nanosheets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Jiang, B (Jiang, Bo); Guo, YN (Guo, Yanna); Kim, J (Kim, Jeonghun); Whitten, AE (Whitten, Andrew E.); Wood, K (Wood, Kathleen); Kani, K (Kani, Kenya); Rowan, AE (Rowan, Alan E.); Henzie, J (Henzie, Joel); Yamauchi, Y (Yamauchi, Yusuke)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JOURNAL OF THE AMERICAN CHEMICAL SOCIETY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140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39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12434-12441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10.1021/jacs.8b05206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OCT 3 2018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278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279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Two-dimensional (2D) metals are an emerging class of nanostructures that have attracted enormous research interest due to their unusual electronic and thermal transport properties. Adding mesopores in the plane of ultrathin 2D metals is the next big step in manipulating these structures because increasing their surface area improves the utilization of the material and the availability of active sites. Here, we report a novel synthetic strategy to prepare an unprecedented type of 2D mesoporous metallic iridium (Ir) nanosheet. Mesoporous Ir nanosheets can be synthesized with close-packed assemblies of diblock copolymer (poly-(ethylene oxide)-b-polystyrene, PEO-b-PS) micelles aligned in the 2D plane of the nanosheets. This novel synthetic route opens a new dimension of control in the synthesis of 2D metals, enabling new kinds of mesoporous architectures with abundant catalytically active sites. Because of their unique structural features, the mesoporous metallic Ir nanosheets exhibit a high electrocatalytic activity toward the oxygen evolution reaction (OER) in acidic solution as compared to commercially available catalysts.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WOS:000446920100024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[Jiang, Bo; Guo, Yanna; Henzie, Joel] Natl Inst Mat Sci, Int Ctr Mat Nanoarchitecton WPI MANA, 1-1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Jeonghun; Yamauchi, Yusuke] Qingdao Univ Sci &amp; Technol, Coll Chem &amp; Mol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Jeonghun; Kani, Kenya; Rowan, Alan E.; Yamauchi, Yusuke] Univ Queensland,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Jeonghun; Kani, Kenya; Rowan, Alan E.; Yamauchi, Yusuke] Univ Queensland,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[Whitten, Andrew E.; Wood, Kathleen] Australian Nucl Sci &amp; Technol Org, New Illawarra Rd, Lucas Heights, NSW 2234,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Yusuke] Kyung Hee Univ, Sch Chem, Dept Plant &amp; Environm New Resources, 1732 Deogyeong Daero, Yongin 446701, Gyeonggi Do,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Henzie, J (通讯作者)，Natl Inst Mat Sci, Int Ctr Mat Nanoarchitecton WPI MANA, 1-1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(通讯作者)，Qingdao Univ Sci &amp; Technol, Coll Chem &amp; Mol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(通讯作者)，Univ Queensland,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(通讯作者)，Univ Queensland,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(通讯作者)，Kyung Hee Univ, Sch Chem, Dept Plant &amp; Environm New Resources, 1732 Deogyeong Daero, Yongin 446701, Gyeonggi Do,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henzie.joeladam@nims.go.jp; y.yamauchi@uq.edu.au</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0002-7863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79"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56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Metal Surface and Interface Energy Electrocatalysis: Fundamentals, Performance Engineering, and Opportunities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Yang, Y (Yang, Yong); Luo, MC (Luo, Mingchuan); Zhang, WY (Zhang, Weiyu); Sun, YJ (Sun, Yingjun); Chen, X (Chen, Xu); Guo, SJ (Guo, Shaojun)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4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9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2054-2083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10.1016/j.chempr.2018.05.019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SEP 13 2018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190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190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Electrochemical processes for renewable energy conversion and generation represent promising pathways for lowering our dependence on fossil fuels yet critically depend on the efficiency of applied electrocatalysts, thus attracting considerable interest in the development of highly active and robust electrocatalysts for practical applications. In this review, we discuss recent progress in promoting electrocatalysis for renewable energy technologies based on surface or interface engineering with special emphasis on the geometric structures. We first introduce the state-of-the-art engineering methods for achieving the desired surface or interface and correlate these structures with their catalytic performances. Then, we describe classic examples of rational surfaces and interfaces for tuning metallic nanomaterials for several key catalytic reactions in renewable energy technologies, including the hydrogen evolution and oxidation reactions, oxygen reduction and evolution reactions, methanol oxidation reaction, and electrochemical carbon dioxide reduction. Finally, we provide personal perspectives to highlight the challenges and opportunities for metallic electrocatalysts in terms of catalysis-driven surface and interface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WOS:000444488400014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[Yang, Yong; Luo, Mingchuan; Zhang, Weiyu; Sun, Yingjun; Guo, Shaojun] Peking Univ, Dept Mat Sci &amp; Engn, Coll Engn, Beijing 100871,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[Guo, Shaojun] Peking Univ, BIC ESAT, Coll Engn, Beijing 100871,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[Sun, Yingjun] Qingdao Univ Sci &amp; Technol, Coll Chem &amp; Mol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[Chen, Xu] Beijing Univ Chem Technol, State Key Lab Chem Resource Engn, Beijing 100029,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Guo, SJ (通讯作者)，Peking Univ, Dept Mat Sci &amp; Engn, Coll Engn, Beijing 100871,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Guo, SJ (通讯作者)，Peking Univ, BIC ESAT, Coll Engn, Beijing 100871,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guosj@pku.edu.cn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2451-9294</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80"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57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Electrochemical Deposition: An Advanced Approach for Templated Synthesis of Nanoporous Metal Architectures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 CL (Li, Cuiling); Iqbal, M (Iqbal, Muhammad); Lin, JJ (Lin, Jianjian); Luo, XL (Luo, Xiliang); Jiang, B (Jiang, Bo); Malgras, V (Malgras, Victor); Wu, KCW (Wu, Kevin C. -W.); Kim, J (Kim, Jeonghun); Yamauchi, Y (Yamauchi, Yusuke)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ACCOUNTS OF CHEMICAL RESEARCH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51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8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1764-1773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10.1021/acs.accounts.8b00119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AUG 2018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249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CONSPECTUS: Well-constructed porous materials take an essential role in a wide range of applications, including energy conversion and storage systems, electrocatalysis, photocatalysis, and sensing. Although the tailored design of various nanoarchitectures has made substantial progress, simpler preparation methods are compelled to meet large-scale production requirements. Recently, advanced electrochemical deposition techniques have had a significant impact in terms of precise control upon the nanoporous architecture (i.e., pore size, surface area, pore structure, etc.), enabling access to a wide range of compositions. In this Account, we showcase the uniqueness of electrochemical deposition techniques, detail their implementation toward the synthesis of novel nanoporous metals, and finally outline the future research directions.</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Nanoporous metallic structures are attractive in that they can provide high surface area and large pore volume, easing mass transport of reactants and providing high accessibility to catalytically active metal surface. The great merit of the electrochemical deposition approach does not only lie in its versatility, being applicable to a wide range of compositions, but also in the nanoscale precision it affords when it comes to crystal growth control, which cannot be easily achieved by other bottom-up or top-down approaches.</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In this Account, we describe the significant progress made in the field of nanoporous metal designed through electrochemical deposition approaches using hard templates (i.e., porous silica, 3D templates of polymer and silica colloids) and soft templates (i.e., lyotropic liquid crystals, polymeric micelles). In addition, we will point out how it accounts for precise control over the crystal growth and describe the unique physical and chemical properties emerging from these novel materials. Up to date, our group has reported the synthesis of several nanoporous metals and alloys (e.g., Cu, Ru, Rh, Pd, Pt, Au, and their corresponding alloys) under various conditions through electrochemical deposition, while investigating their various potential applications. The orientation of the channel structure, the composition, and the nanoporosity can be easily controlled by selecting the appropriate surfactants or block copolymers. The inherent properties of the final product, such as framework crystallinity, catalytic activity, and resistance to oxidation, are depending on both the composition and pore structure, which in turn require suitable electrochemical conditions. This Account is divided into three main sections: (i) a history of electrochemical deposition using hard and soft templates, (ii) a description of the important mechanisms involved in the preparation of nanoporous materials, and (iii) a conclusion and future perspectives. We believe that this Account will promote a deeper understanding of the synthesis of nanoporous metals using electrochemical deposition methods, thus enabling new pathways to control nanoporous architectures and optimize their performance toward promising applications such as catalysis, energy storage, sensors, and so forth.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WOS:000442707400004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 Cuiling; Iqbal, Muhammad; Jiang, Bo; Malgras, Victor] Natl Inst Mat Sci, Int Ctr Mat Nanoarchitecton MANA, 1-1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[Lin, Jianjian; Luo, Xiliang] Qingdao Univ Sci &amp; Technol, Coll Chem &amp; Mol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Kevin C. -W.] Natl Taiwan Univ, Dept Chem Engn, 1,Sec 4,Roosevelt Rd, Taipei 10617, Taiwan.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Jeonghun; Yamauchi, Yusuke] Univ Queensland,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Jeonghun; Yamauchi, Yusuke] Univ Queensland, Australian Inst Bioengn &amp; Nanotechnol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Yusuke] Kyung Hee Univ, Dept Plant &amp; Environm New Resources, 1732 Deogyeong Daero, Yongin 446701, Gyeonggi Do,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Kim, J; Yamauchi, Y (通讯作者)，Univ Queensland,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Kim, J; Yamauchi, Y (通讯作者)，Univ Queensland, Australian Inst Bioengn &amp; Nanotechnol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(通讯作者)，Kyung Hee Univ, Dept Plant &amp; Environm New Resources, 1732 Deogyeong Daero, Yongin 446701, Gyeonggi Do,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jeonghun.kim@uq.edu.au; y.yamauchi@uq.edu.au</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0001-4842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1520-4898</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81"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58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Toward Total Synthesis of Thiolate-Protected Metal Nanoclusters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Yao, QF (Yao, Qiaofeng); Chen, TK (Chen, Tiankai); Yuan, X (Yuan, Xun); Xie, JP (Xie, Jianping)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ACCOUNTS OF CHEMICAL RESEARCH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51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6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1338-1348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10.1021/acs.accounts.8b00065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JUN 2018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339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338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CONSPECTUS: Total synthesis, where desired organic- and/or biomolecules could be produced from simple precursors at atomic precision and with known step-by-step reactions, has prompted centuries-lasting bloom of organic chemistry since its conceptualization in 1828 (Wohler synthesis of urea). Such expressive science is also highly desirable in nanoscience, since it represents a decisive step toward atom-by-atom customization of nanomaterials for basic and applied research. Although total synthesis chemistry is less established in nanoscience, recent years have witnessed seminal advances and increasing research efforts devoted into this field. In this Account, we discuss recent progress on introducing and developing total synthesis routes and mechanisms for atomically precise metal nanodusters (NCs). Due to their molecular-like formula and properties (e.g., HOMO-LUMO transition, strong luminescence and stereochemical activity), atomically precise metal NCs could be regarded as "molecular metals", holding potential applications in various practical sectors such as biomedicine, energy, catalysis, and many others. More importantly, the molecular-like properties of metal NCs are sensitively dictated by their size and composition, suggesting total synthesis of them as an indispensable basis for reliably realizing their practical applications. Atomically precise thiolate-protected Au, Ag and their alloy NCs are employed as model NCs to exemplify design strategies and governing principles in total synthesis of inorganic nanoparticles. This Account starts with a brief summary of total synthesis methodologies of atomically precise metal NCs. Following the methodological summary is a detailed discussion on the mechanisms governing these synthetic strategies, which is the main focus of this Account. Based on unprecedented precision (at atomic resolution) and ease (ensured by size-dependent properties) of tracking clusters' size/structure changes, mechanisms driving growth (e.g., reduction growth and seeded growth) and functionalization (e.g., alloying reaction and ligand exchange) of metal NCs have been explored at molecular level. With definitive step-by-step reaction routes, two-electron (2 e(-)) reduction (driving the growth reactions) and surface motif exchange (SME, prompting alloying and ligand exchange reactions) are discussed in depth and details. In addition to those sub- and/or individual-cluster level understandings, the self-assembly chemistry delivering high orderliness and enhanced materials performance in NC assemblies/supercrystals is also deciphered. This Account is then concluded with our perspectives toward potential development of cluster chemistry. Advances in total synthesis chemistry of metal NCs could not only serve as guidelines for future synthetic practice of NCs, but also provide molecular-level clues for many pending fundamental puzzles in nanochemistry, including nucleation growth, alloying chemistry, surface engineering and evolution of metamaterials.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WOS:000436027200003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[Yao, Qiaofeng; Chen, Tiankai; Xie, Jianping] Natl Univ Singapore, Dept Chem &amp; Biomol Engn, 4 Engn Dr 4, Singapore 117585, Singapore.</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[Yuan, Xun] Qingdao Univ Sci &amp; Technol, Coll Mat Sci &amp; Engn, 53 Zhengzhou Rd, Qingdao 266042,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Chen, TK (通讯作者)，Natl Univ Singapore, Dept Chem &amp; Biomol Engn, 4 Engn Dr 4, Singapore 117585, Singapore.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chexiej@nus.edu.sg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0001-4842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1520-4898</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82"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59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FePt-Au ternary metallic nanoparticles with the enhanced peroxidase-like activity for ultrafast colorimetric detection of H2O2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Ding, YN (Ding, Yanan); Yang, BC (Yang, Baochan); Liu, H (Liu, Hao); Liu, ZX (Liu, Zhenxue); Zhang, X (Zhang, Xiao); Zheng, XW (Zheng, Xiuwen); Liu, QY (Liu, Qingyun)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SENSORS AND ACTUATORS B-CHEMICAL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259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775-783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10.1016/j.snb.2017.12.115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APR 15 2018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206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209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In this paper, FePt-Au ternary metallic hybrid nanaoparticles (FePt-Au HNPs) were prepared with FePt nanocubes as seeds and then the seeds were combined with Au(I) precursor through a facile hydrothermal approach. And the FePt-Au HNPs were characterized by a series of technical methods such as transmission electron microscopy (TEM), X-ray diffraction pattern (XRD) and UV-vis absorption spectra. Moreover, the as-prepared FePt-Au HNPs possessed the excellent peroxidase-like activity which could rapidly catalyze the oxidation reaction of substrate 3,3',5,5'-tetramethylbenzidine (TMB) to obtain a typical blue product which could be observed apparently by the naked eye only within 30 s. Notably, the color response is instant, due to the fast electron transfer between the substrate and H2O2 with the aid of FePt-Au HNPs. Based on the catalytic mechanism of fast electron transfer and the intrinsic peroxidase-like activity of FePt-Au HNPs, a visual colorimetric sensor for ultrafast detecting H2O2 was constructed with a wide linear range of 20-700 mu M as well as a relative lower limit of detection (LOD) of 12.33 mu M. Furthermore, the ultrafast sensor based on FePt-Au HNPs as peroxidase mimics was also successfully applied to detect H2O2 in milk samples. (C) 2017 Elsevier B.V. All rights reserved.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WOS:000424877600092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[Ding, Yanan; Yang, Baochan; Liu, Hao; Liu, Zhenxue; Liu, Qingyun] Shandong Univ Sci &amp; Technol, Sch Chem &amp; Environm Engn, Qingdao 266510,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[Zhang, Xiao] Qingdao Univ Sci &amp; Technol, Coll Chem &amp; Mol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[Zheng, Xiuwen] Linyi Univ, Sch Chem &amp; Chem Engn, Linyi 276000,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Liu, QY (通讯作者)，Shandong Univ Sci &amp; Technol, Sch Chem &amp; Environm Engn, Qingdao 266510,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Zheng, XW (通讯作者)，Linyi Univ, Sch Chem &amp; Chem Engn, Linyi 276000, Shandong,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qyliu@sdust.edu.cn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Analytical; Electrochemistry; Instruments &amp; Instrumentation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Electrochemistry; Instruments &amp; Instrumentation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0925-4005</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83"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60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Confined Self-Assembly in Two-Dimensional Interlayer Space: Monolayered Mesoporous Carbon Nanosheets with In-Plane Orderly Arranged Mesopores and a Highly Graphitized Framework</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Wang, J (Wang, Jie); Xu, YL (Xu, Yunling); Ding, B (Ding, Bing); Chang, Z (Chang, Zhi); Zhang, XG (Zhang, Xiaogang); Yamauchi, Y (Yamauchi, Yusuke); Wu, KCW (Wu, Kevin C. -W.)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ANGEWANDTE CHEMIE-INTERNATIONAL EDITION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57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11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2894-2898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10.1002/anie.201712959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MAR 5 2018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213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216</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Although two-dimensional (2D) carbon materials are widely investigated, a well-defined 2D carbon nanosheet with an ordered mesostructure has rarely been realized. Monolayer-ordered mesoporous carbon nanosheets (OMCNS) were prepared through confinement assembly of resol and F127 in the interlayer of montmorillonite (MONT). The nanoscale distance of the interlayer space of MONT only allow the assembly of resol and F127 in the same plane, leading to ordered mesopores perpendicular to carbon nanosheets, and favor the formation of sp(2) carbon, resulting in a high degree of graphitization. The mesopores on the carbon nanosheets provide efficient ion diffusion, and the high degree of graphitization provides a fast electron-transport route, enabling OMCNS as excellent electrode materials for electric double layer capacitors.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WOS:000426490700023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Jie; Xu, Yunling; Ding, Bing; Chang, Zhi; Zhang, Xiaogang] Nanjing Univ Aeronaut &amp; Astronaut, Coll Mat Sci &amp; Engn, Jiangsu Key Lab Electrochem Energy Storage Techno, Nanjing 210016, Jiangsu,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Jie; Yamauchi, Yusuke] Qingdao Univ Sci &amp; Technol, Coll Chem &amp; Mol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Jie; Wu, Kevin C. -W.] Natl Taiwan Univ, Dept Chem Engn, Roosevelt Rd, Taipei 10617, Taiwan.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Jie; Yamauchi, Yusuke] NIMS, Int Ctr Mat Nanoarchitecton WPI MANA, 1-1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Yusuke] Univ Queensland,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Yusuke] Univ Queensland,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Yusuke] Kyung Hee Univ, Dept Plant &amp; Environm New Resources, 1732 Deogyeong Daero, Yongin 446701, Gyeonggi Do,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Zhang, XG (通讯作者)，Nanjing Univ Aeronaut &amp; Astronaut, Coll Mat Sci &amp; Engn, Jiangsu Key Lab Electrochem Energy Storage Techno, Nanjing 210016, Jiangsu,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(通讯作者)，Qingdao Univ Sci &amp; Technol, Coll Chem &amp; Mol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Wu, KCW (通讯作者)，Natl Taiwan Univ, Dept Chem Engn, Roosevelt Rd, Taipei 10617, Taiwan.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(通讯作者)，NIMS, Int Ctr Mat Nanoarchitecton WPI MANA, 1-1 Namiki, Tsukuba, Ibaraki 3050044, Japan.</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(通讯作者)，Univ Queensland, Sch Chem Engn,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(通讯作者)，Univ Queensland, AIBN, Brisbane, Qld 4072, Australia.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Yamauchi, Y (通讯作者)，Kyung Hee Univ, Dept Plant &amp; Environm New Resources, 1732 Deogyeong Daero, Yongin 446701, Gyeonggi Do, South Korea.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azhangxg@nuaa.edu.cn; y.yamauchi@uq.edu.au; kevinwu@ntu.edu.tw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1433-7851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1521-3773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84"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61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Design and synthesis of porous Ag/ZnO nanosheets assemblies as super photocatalysts for enhanced visible-light degradation of 4-nitrophenol and hydrogen evolution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Mou, HY (Mou, Hongyu); Song, CX (Song, Caixia); Zhou, YH (Zhou, Yanhong); Zhang, B (Zhang, Bo); Wang, DB (Wang, Debao)</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APPLIED CATALYSIS B-ENVIRONMENTAL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221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565-573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10.1016/j.apcatb.2017.09.061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FEB 2018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183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190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Three-dimensional (3D) Ag/ZnO assemblies with porous nanosheets as building blocks have been designed and selectively prepared via a facial solution method followed by topological morphology conversion with low temperature calcination. The samples were characterized thoroughly by using XRD, SEM, TEM, HRTEM, N-2 isotherms, UV-vis spectroscopy, PL, EIS, Mott-Schottky plots, and photocurrent response. The as-prepared 3D Ag/ZnO architectures were evaluated as photocatalysts for hydrogen evolution and organic pollutants removal from aqueous solution, which demonstrates superior sun-light driven photocatalytic activities to those of ZnO architectures. Nearly 100% photocatalytic degradation of 10 ppm 4-nitrophenol was obtained just for 25 min and 0.4436 mmol g(-1) h(-1) of hydrogen production rate was achieved over Ag/ZnO architectures. The photo current of the Ag/ZnO photoelectrode showed an enhancement of three times of ZnO architectures. The enhanced photocatalytic activity may be attributed to the synergetic effect between 2D ZnO porous single crystalline nanosheets and sliver components, which could not only accelerate separation and migration efficiency of charge carries, but also enhance charge-collection efficiency.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WOS:000414109700055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[Mou, Hongyu; Song, Caixia] Qingdao Univ Sci &amp; Technol, Coll Mat Sci &amp;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[Zhou, Yanhong; Zhang, Bo; Wang, Debao] Qingdao Univ Sci &amp; Technol, Key Lab Inorgan Synthet &amp; Appl Chem, State Key Lab Base Ecochem Engn, Coll Chem &amp; Mol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Song, CX (通讯作者)，Qingdao Univ Sci &amp; Technol, Coll Mat Sci &amp;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DB (通讯作者)，Qingdao Univ Sci &amp; Technol, Key Lab Inorgan Synthet &amp; Appl Chem, State Key Lab Base Ecochem Engn, Coll Chem &amp; Mol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songcabna@qust.edu.cn; dbwang@qust.edu.cn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Engineering, Environmental;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0926-3373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1873-3883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85"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62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Insight into pressure-swing distillation from azeotropic phenomenon to dynamic control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Liang, SS (Liang, Shisheng); Cao, YJ (Cao, Yujuan); Liu, XZ (Liu, Xingzhen); Li, X (Li, Xin); Zhao, YT (Zhao, Yongteng); Wang, YK (Wang, Yongkun); Wang, YL (Wang, Yinglong)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CHEMICAL ENGINEERING RESEARCH &amp; DESIGN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117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318-335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10.1016/j.cherd.2016.10.040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JAN 2017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200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210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Pressure-swing distillation (PSD) is widely used as an efficient method for separating pressure-sensitive azeotropic mixtures in industrial processes. Remarkably, PSD can achieve pure products without introducing a third component compared with extractive distillation and azeotropic distillation. Heat integration into PSD can save energy and reduce operating costs, thus relieving the continuous growth of energy consumption in the distillation industry. This review paper describes the development of this widely used distillation technique, including all of the main aspects related to thermodynamic analysis, Quantitative structure property relationship (QSPR), process design, process intensification, and dynamic control. Based on the foundation of research, further development of PSD is proposed for separating multi-component azeotropic mixtures and exploring the process design and dynamic control from QSPR, aiming at promoting the industrial application of this environmentally friendly and well-known separation technique from multi-scale analysis. (C) 2016 Institution of Chemical Engineers. Published by Elsevier B.V. All rights reserved.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WOS:000393535400028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[Liang, Shisheng; Cao, Yujuan; Liu, Xingzhen; Li, Xin; Zhao, Yongteng; Wang, Yongkun; Wang, Yinglong] Qingdao Univ Sci &amp; Technol, Coll Chem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Wang, YL (通讯作者)，Qingdao Univ Sci &amp; Technol, Coll Chem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yinglongw@126.com</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0263-8762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1744-3563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86"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63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Highly Stable Zr(IV)-Based Metal-Organic Frameworks for the Detection and Removal of Antibiotics and Organic Explosives in Water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Wang, B (Wang, Bin); Lv, XL (Lv, Xiu-Liang); Feng, DW (Feng, Dawei); Xie, LH (Xie, Lin-Hua); Zhang, J (Zhang, Jian); Li, M (Li, Ming); Xie, YB (Xie, Yabo); Li, JR (Li, Jian-Rong); Zhou, HC (Zhou, Hong-Cai)</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JOURNAL OF THE AMERICAN CHEMICAL SOCIETY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138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19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6204-6216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10.1021/jacs.6b01663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MAY 18 2016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1114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1143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Antibiotics and organic explosives are among the main organic pollutants in wastewater; their detection and removal are quite important but challenging. As a new class of-porous materials, Metal organic frameworks (MOPs) are considered as a promising platform for the sensing and adsorption applications. In this work, guided by a topological design approach, two stable isostructural Zr(IV)-based MOFs, Zr6O4(OH)(8)(H2O)(4)(CTTA)(8/3) (BUT-12, H(3)CTTA = 5'-(4-carboxyphenyl)-2',4',6'-trimethyl-[1,1':3',1 ''-terphenyl]-4,4 ''-dicarboxylic acid) and Zr6O4(OH)(8)(H2O)(4)(TTNA)(8/3) (BUT-13, H(3)TTNA = 6,6',6 ''-(2,4,6-trimethylbenzene-1,3,5-triyl)tris(2-naphthoic acid)) with the the-a topological structure constructed by D-4h 8-connected Zr-6 clusters and D-3h 3-connected linkers were designed and synthesized. The two MOFs are highly porous with the Brunauer-Emmett-Teller surface area of 3387 and 3948 m(2) g(-1), respectively. Particularly, BUT-13 features one-of the most porous water-stable MOFs reported so far. Interestingly, these MOFs, represent excellent fluorescent properties, which can be efficiently quenched by trace amounts of nitrofurazone (NZF) and nitrofurantoin (NFT) antibiotics as well as 2,4,6: trinitrophenol (TNP) and 4-nitrophenol (4-NP) organic explosives in water solution. They are responsive to NZF and TNP at parts per billion (ppb) levels, which are among the best performing luminescent MOP-based sensing materials. Simultaneously, both MOFs also display high adsorption abilities toward these organic molecules. It was demonstrated that the adsorption plays an important role in the preconcentration of analytes, which can further increase the fluorescent quenching efficiency. These results indicate that BUT-12 and -13 are favorable materials for the simultaneous selective detection and removal of specific antibiotics and organic explosives from water, being potentially useful in monitoring water quality and treating wastewater.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WOS:000376331000022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[Wang, Bin; Lv, Xiu-Liang; Xie, Lin-Hua; Zhang, Jian; Xie, Yabo; Li, Jian-Rong] Beijing Univ Technol, Coll Environm &amp; Energy Engn, Beijing Key Lab Green Catalysis &amp; Separat, Beijing 100124,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[Wang, Bin; Lv, Xiu-Liang; Xie, Lin-Hua; Zhang, Jian; Xie, Yabo; Li, Jian-Rong] Beijing Univ Technol, Coll Environm &amp; Energy Engn, Dept Chem, Beijing 100124,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[Feng, Dawei; Zhou, Hong-Cai] Texas A&amp;M Univ, Dept Chem, College Stn, TX 77843 USA.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[Zhang, Jian; Li, Ming] Qingdao Univ Sci &amp; Technol, Coll Chem &amp; Mol Engn, State Key Lab Base Ecochem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Li, JR (通讯作者)，Beijing Univ Technol, Coll Environm &amp; Energy Engn, Beijing Key Lab Green Catalysis &amp; Separat, Beijing 100124,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JR (通讯作者)，Beijing Univ Technol, Coll Environm &amp; Energy Engn, Dept Chem, Beijing 100124,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jrli@bjut.edu.cn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0002-7863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87"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64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Fabrication of sulfur-doped g-C3N4/Au/CdS Z-scheme photocatalyst to improve the photocatalytic performance under visible light</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Li, WB (Li, Weibing); Feng, C (Feng, Chang); Dai, SY (Dai, Shiyuan); Yue, JG (Yue, Jiguang); Hua, FX (Hua, Fangxia); Hou, H (Hou, Hao)</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APPLIED CATALYSIS B-ENVIRONMENTAL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168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465-471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10.1016/j.apcatb.2015.01.012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JUN 2015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290</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298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Au and CdS nanoparticles were firstly deposited on the surface of g-CNS by two-step self-assembly process to afford sandwich-structured Z-scheme g-CNS/Au/CdS photocatalyst. The photocatalytic reduction of water to hydrogen was highly improved in lactic acid scavenger solution using the as-prepared gCNS/Au/CdS than using g-CNS/CdS in the presence of visible light, and the photocatalytic degradation of RhB dye was also improved. According to the photoluminescence spectra and excited state electron radioactive decay lifetime, when Au was paired between g-CNS and CdS, based on the Z-scheme chargecarrier transfer mechanism, the redox ability of the photogenerated holes and electrons was enhanced, followed by the increased lifetime of the photoelectrons. Therefore, the photocatalytic ability of the g-CNS/Au/CdS composite was significantly improved. (C) 2015 Elsevier B.V. All rights reserved.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WOS:000352747200051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[Li, Weibing; Feng, Chang; Dai, Shiyuan; Yue, Jiguang; Hua, Fangxia; Hou, Hao] Qingdao Univ Sci &amp; Technol, Sch Environm &amp; Safety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Li, WB (通讯作者)，Qingdao Univ Sci &amp; Technol, Sch Environm &amp; Safety Engn, 53 Zhengzhou Rd,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lwbing@qust.edu.cn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Engineering, Environmental;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0926-3373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1873-3883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88"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65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Effect of contact interface between TiO2 and g-C3N4 on the photoreactivity of g-C3N4/TiO2 photocatalyst: (001) vs (101) facets of TiO2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Huang, ZA (Huang, Ze'ai); Sun, Q (Sun, Qiong); Lv, KL (Lv, Kangle); Zhang, ZH (Zhang, Zehui); Li, M (Li, Mei); Li, B (Li, Bing)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APPLIED CATALYSIS B-ENVIRONMENTAL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164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420-427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10.1016/j.apcatb.2014.09.043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MAR 2015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437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445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In this paper, effect of contact interfaces of high-energy TiO2, (1 0 1) and (0 0 1) facets, with g-C3N4 on the photocatalytic activity of g-C3N4/TiO2 hybrid was studied using TiO2 hollow nanobox (TiO2-HNB) assembly from high-energy TiO2 nanosheets (TiO2-NS) as model. The prepared photocatalyst was characterized by X-ray diffraction (XRD), transmission electron microscope (TEM), scanning electron microscopy (SEM), nitrogen sorption, Fourier transform infrared spectroscopy (FT-IR), diffuse reflectance spectroscopy (DRS) and X-ray photoelectron spectrometer (XPS). The photoreactivity of the photocatalyst was evaluated by measure the formation rate of photo-induced hydroxyl radicals ((OH)-O-center dot) using coumarin as a probe molecule and photocatalytic degradation of Brilliant Red X3B (an anionic dye) under UV irradiation (lambda =365 +/- 10 nm). It was found that g-C3N4/TiO2-HNB forms direct Z-scheme photocatalytic system, which shows superior enhancement on the photocatalytic activity of TiO2 than g-C3N4/TiO2-NS. It is by contacting g-C3N4 with (1 0 1) facets, g-C3N4 can efficient remove the photo-generated electrons accumulated on (1 0 1) facets of high-energy TiO2, which results in spatially isolated photo-generated electrons and holes, enhancing the photocatalytic activity. (C) 2014 Elsevier E.V. All rights reserved.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WOS:000345181800047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Article</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[Huang, Ze'ai; Lv, Kangle; Zhang, Zehui; Li, Mei] South Cent Univ Nationalities, State Ethn Affairs Commiss, Key Lab Catalysis &amp; Mat Sci, Wuhan 430074,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[Huang, Ze'ai; Lv, Kangle; Zhang, Zehui; Li, Mei] South Cent Univ Nationalities, Minist Educ, Wuhan 430074,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[Sun, Qiong] Qingdao Univ Sci &amp; Technol, Coll Mat Sci &amp; Engn,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Bing] Zhejiang A&amp;F Univ, Zhejiang Prov Key Lab Chem Utilizat Forestry Biom, Linan 311300,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Lv, KL (通讯作者)，South Cent Univ Nationalities, State Ethn Affairs Commiss, Key Lab Catalysis &amp; Mat Sci, Wuhan 430074,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lvkangle@mail.scuec.edu.cn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Physical; Engineering, Environmental; Engineering, Chemical</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 Engineering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0926-3373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1873-3883</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89"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66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Biodegradable stimuli-responsive polypeptide materials prepared by ring opening polymerization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Shen, Y (Shen, Yong); Fu, XH (Fu, Xiaohui); Fu, WX (Fu, Wenxin); Li, ZB (Li, Zhibo)</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CHEMICAL SOCIETY REVIEWS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44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3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612-622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10.1039/c4cs00271g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2015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278</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283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The stimuli-responsive polypeptides have drawn extensive attention because of their promising applications in biotechnology considering their biocompatibility, biodegradability, and bioactivity. In this tutorial review, we summarize the most recent progress in this area, including thermo-, redox-, photo-, and biomolecule responsive polypeptides over the past decade. The design and synthesis of stimuli-responsive polypeptides will be briefly introduced. The correlation between the structure and properties, particularly the effects of polypeptide conformation, will be emphasized here. In addition, the applications of stimuli-responsive polypeptides in controlled drug release and tissue engineering are briefly discussed.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WOS:000348922100001</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[Shen, Yong; Fu, Xiaohui; Fu, Wenxin; Li, Zhibo] Chinese Acad Sci, Inst Chem, Lab Polymer Phys &amp; Chem, BNLMS, Beijing 100190,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[Li, Zhibo] Qingdao Univ Sci &amp; Technol, Sch Polymer Sci &amp; Engn, Qingdao 266042,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Fu, WX (通讯作者)，Chinese Acad Sci, Inst Chem, Lab Polymer Phys &amp; Chem, BNLMS, Beijing 100190,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fuwenxin@iccas.ac.cn; zbli@iccas.ac.cn</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0306-0012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1460-4744</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90"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67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Macro-/micro-environment-sensitive chemosensing and biological imaging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Yang, ZG (Yang, Zhigang); Cao, JF (Cao, Jianfang); He, YX (He, Yanxia); Yang, JH (Yang, Jung Ho); Kim, T (Kim, Taeyoung); Peng, XJ (Peng, Xiaojun); Kim, JS (Kim, Jong Seung)</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CHEMICAL SOCIETY REVIEWS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43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13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4563-4601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10.1039/c4cs00051j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2014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633</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639</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Environment-related parameters, including viscosity, polarity, temperature, hypoxia, and pH, play pivotal roles in controlling the physical or chemical behaviors of local molecules. In particular, in a biological environment, such factors predominantly determine the biological properties of the local environment or reflect corresponding status alterations. Abnormal changes in these factors would cause cellular malfunction or become a hallmark of the occurrence of severe diseases. Therefore, in recent years, they have increasingly attracted research interest from the fields of chemistry and biological chemistry. With the emergence of fluorescence sensing and imaging technology, several fluorescent chemosensors have been designed to respond to such parameters and to further map their distributions and variations in vitro/in vivo. In this work, we have reviewed a number of various environment-responsive chemosensors related to fluorescent recognition of viscosity, polarity, temperature, hypoxia, and pH that have been reported thus far.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WOS:000337131200014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[Yang, Zhigang; He, Yanxia; Yang, Jung Ho; Kim, Taeyoung; Kim, Jong Seung] Korea Univ, Dept Chem, Seoul 136701, South Korea.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[Yang, Zhigang; He, Yanxia] Qingdao Univ Sci &amp; Technol, Coll Chem &amp; Mol Engn, Minist Educ, Key Lab Sensor Anal Tumor Marker,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[Cao, Jianfang; Peng, Xiaojun] Dalian Univ Technol, State Key Lab Fine Chem, Dalian 116024,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Peng, XJ (通讯作者)，Dalian Univ Technol, State Key Lab Fine Chem, Dalian 116024, Peoples R China.</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pengxj@dlut.edu.cn; jongskim@korea.ac.kr</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0306-0012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1460-4744</w:t>
            </w:r>
          </w:p>
        </w:tc>
      </w:tr>
    </w:tbl>
    <w:p>
      <w:pPr>
        <w:widowControl/>
        <w:adjustRightInd w:val="0"/>
        <w:snapToGrid w:val="0"/>
        <w:jc w:val="left"/>
        <w:rPr>
          <w:rFonts w:ascii="宋体" w:hAnsi="宋体" w:eastAsia="宋体" w:cs="宋体"/>
          <w:kern w:val="0"/>
          <w:sz w:val="18"/>
          <w:szCs w:val="18"/>
        </w:rPr>
      </w:pPr>
      <w:r>
        <w:rPr>
          <w:rFonts w:ascii="宋体" w:hAnsi="宋体" w:eastAsia="宋体" w:cs="宋体"/>
          <w:kern w:val="0"/>
          <w:sz w:val="18"/>
          <w:szCs w:val="18"/>
        </w:rPr>
        <w:pict>
          <v:rect id="_x0000_i1091" o:spt="1" style="height:1.5pt;width:0pt;" fillcolor="#000000" filled="t" stroked="f" coordsize="21600,21600" o:hr="t" o:hrstd="t" o:hrnoshade="t" o:hralign="center">
            <v:path/>
            <v:fill on="t" focussize="0,0"/>
            <v:stroke on="f"/>
            <v:imagedata o:title=""/>
            <o:lock v:ext="edit"/>
            <w10:wrap type="none"/>
            <w10:anchorlock/>
          </v:rect>
        </w:pict>
      </w:r>
    </w:p>
    <w:tbl>
      <w:tblPr>
        <w:tblStyle w:val="11"/>
        <w:tblW w:w="0" w:type="auto"/>
        <w:tblCellSpacing w:w="15" w:type="dxa"/>
        <w:tblInd w:w="0" w:type="dxa"/>
        <w:tblLayout w:type="autofit"/>
        <w:tblCellMar>
          <w:top w:w="15" w:type="dxa"/>
          <w:left w:w="15" w:type="dxa"/>
          <w:bottom w:w="15" w:type="dxa"/>
          <w:right w:w="15" w:type="dxa"/>
        </w:tblCellMar>
      </w:tblPr>
      <w:tblGrid>
        <w:gridCol w:w="8402"/>
      </w:tblGrid>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第 68 条，共 68 条</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标题:</w:t>
            </w:r>
            <w:r>
              <w:rPr>
                <w:rFonts w:hint="eastAsia" w:ascii="微软雅黑" w:hAnsi="微软雅黑" w:eastAsia="微软雅黑" w:cs="宋体"/>
                <w:kern w:val="0"/>
                <w:sz w:val="18"/>
                <w:szCs w:val="18"/>
              </w:rPr>
              <w:t> Electrical biosensors and the label free detection of protein disease biomarkers</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作者:</w:t>
            </w:r>
            <w:r>
              <w:rPr>
                <w:rFonts w:hint="eastAsia" w:ascii="微软雅黑" w:hAnsi="微软雅黑" w:eastAsia="微软雅黑" w:cs="宋体"/>
                <w:kern w:val="0"/>
                <w:sz w:val="18"/>
                <w:szCs w:val="18"/>
              </w:rPr>
              <w:t> Luo, XL (Luo, Xiliang); Davis, JJ (Davis, Jason J.)</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来源出版物:</w:t>
            </w:r>
            <w:r>
              <w:rPr>
                <w:rFonts w:hint="eastAsia" w:ascii="微软雅黑" w:hAnsi="微软雅黑" w:eastAsia="微软雅黑" w:cs="宋体"/>
                <w:kern w:val="0"/>
                <w:sz w:val="18"/>
                <w:szCs w:val="18"/>
              </w:rPr>
              <w:t> CHEMICAL SOCIETY REVIEWS  </w:t>
            </w:r>
            <w:r>
              <w:rPr>
                <w:rFonts w:hint="eastAsia" w:ascii="微软雅黑" w:hAnsi="微软雅黑" w:eastAsia="微软雅黑" w:cs="宋体"/>
                <w:b/>
                <w:bCs/>
                <w:kern w:val="0"/>
                <w:sz w:val="18"/>
                <w:szCs w:val="18"/>
              </w:rPr>
              <w:t>卷:</w:t>
            </w:r>
            <w:r>
              <w:rPr>
                <w:rFonts w:hint="eastAsia" w:ascii="微软雅黑" w:hAnsi="微软雅黑" w:eastAsia="微软雅黑" w:cs="宋体"/>
                <w:kern w:val="0"/>
                <w:sz w:val="18"/>
                <w:szCs w:val="18"/>
              </w:rPr>
              <w:t> 42  </w:t>
            </w:r>
            <w:r>
              <w:rPr>
                <w:rFonts w:hint="eastAsia" w:ascii="微软雅黑" w:hAnsi="微软雅黑" w:eastAsia="微软雅黑" w:cs="宋体"/>
                <w:b/>
                <w:bCs/>
                <w:kern w:val="0"/>
                <w:sz w:val="18"/>
                <w:szCs w:val="18"/>
              </w:rPr>
              <w:t>期:</w:t>
            </w:r>
            <w:r>
              <w:rPr>
                <w:rFonts w:hint="eastAsia" w:ascii="微软雅黑" w:hAnsi="微软雅黑" w:eastAsia="微软雅黑" w:cs="宋体"/>
                <w:kern w:val="0"/>
                <w:sz w:val="18"/>
                <w:szCs w:val="18"/>
              </w:rPr>
              <w:t> 13  </w:t>
            </w:r>
            <w:r>
              <w:rPr>
                <w:rFonts w:hint="eastAsia" w:ascii="微软雅黑" w:hAnsi="微软雅黑" w:eastAsia="微软雅黑" w:cs="宋体"/>
                <w:b/>
                <w:bCs/>
                <w:kern w:val="0"/>
                <w:sz w:val="18"/>
                <w:szCs w:val="18"/>
              </w:rPr>
              <w:t>页:</w:t>
            </w:r>
            <w:r>
              <w:rPr>
                <w:rFonts w:hint="eastAsia" w:ascii="微软雅黑" w:hAnsi="微软雅黑" w:eastAsia="微软雅黑" w:cs="宋体"/>
                <w:kern w:val="0"/>
                <w:sz w:val="18"/>
                <w:szCs w:val="18"/>
              </w:rPr>
              <w:t> 5944-5962  </w:t>
            </w:r>
            <w:r>
              <w:rPr>
                <w:rFonts w:hint="eastAsia" w:ascii="微软雅黑" w:hAnsi="微软雅黑" w:eastAsia="微软雅黑" w:cs="宋体"/>
                <w:b/>
                <w:bCs/>
                <w:kern w:val="0"/>
                <w:sz w:val="18"/>
                <w:szCs w:val="18"/>
              </w:rPr>
              <w:t>DOI:</w:t>
            </w:r>
            <w:r>
              <w:rPr>
                <w:rFonts w:hint="eastAsia" w:ascii="微软雅黑" w:hAnsi="微软雅黑" w:eastAsia="微软雅黑" w:cs="宋体"/>
                <w:kern w:val="0"/>
                <w:sz w:val="18"/>
                <w:szCs w:val="18"/>
              </w:rPr>
              <w:t> 10.1039/c3cs60077g  </w:t>
            </w:r>
            <w:r>
              <w:rPr>
                <w:rFonts w:hint="eastAsia" w:ascii="微软雅黑" w:hAnsi="微软雅黑" w:eastAsia="微软雅黑" w:cs="宋体"/>
                <w:b/>
                <w:bCs/>
                <w:kern w:val="0"/>
                <w:sz w:val="18"/>
                <w:szCs w:val="18"/>
              </w:rPr>
              <w:t>出版年:</w:t>
            </w:r>
            <w:r>
              <w:rPr>
                <w:rFonts w:hint="eastAsia" w:ascii="微软雅黑" w:hAnsi="微软雅黑" w:eastAsia="微软雅黑" w:cs="宋体"/>
                <w:kern w:val="0"/>
                <w:sz w:val="18"/>
                <w:szCs w:val="18"/>
              </w:rPr>
              <w:t> 2013  </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核心合集中的 "被引频次":</w:t>
            </w:r>
            <w:r>
              <w:rPr>
                <w:rFonts w:hint="eastAsia" w:ascii="微软雅黑" w:hAnsi="微软雅黑" w:eastAsia="微软雅黑" w:cs="宋体"/>
                <w:kern w:val="0"/>
                <w:sz w:val="18"/>
                <w:szCs w:val="18"/>
              </w:rPr>
              <w:t> 337</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被引频次合计:</w:t>
            </w:r>
            <w:r>
              <w:rPr>
                <w:rFonts w:hint="eastAsia" w:ascii="微软雅黑" w:hAnsi="微软雅黑" w:eastAsia="微软雅黑" w:cs="宋体"/>
                <w:kern w:val="0"/>
                <w:sz w:val="18"/>
                <w:szCs w:val="18"/>
              </w:rPr>
              <w:t> 344</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摘要:</w:t>
            </w:r>
            <w:r>
              <w:rPr>
                <w:rFonts w:hint="eastAsia" w:ascii="微软雅黑" w:hAnsi="微软雅黑" w:eastAsia="微软雅黑" w:cs="宋体"/>
                <w:kern w:val="0"/>
                <w:sz w:val="18"/>
                <w:szCs w:val="18"/>
              </w:rPr>
              <w:t> Electrical detection methodologies are likely to underpin the progressive drive towards miniaturised, sensitive and portable biomarker detection protocols. In being easily integrated within standard electronic microfabrication formats, and developing capability in microfluidics, the facile multiplexed detection of a range of proteins in a small analytical volume becomes entirely feasible with something costing just a few thousand pounds and benchtop or handheld in scale. In this review, we focus on recent important advances in label free assays of protein using a number of electrical methods, including those based on electrochemical impedance spectroscopy (EIS), amperometry/voltammetry, potentiometry, conductometry and field-effect methods. We introduce their mechanistic features and examples of application and sensitivity. The current state of the art, real world applications and challenges are outlined.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入藏号:</w:t>
            </w:r>
            <w:r>
              <w:rPr>
                <w:rFonts w:hint="eastAsia" w:ascii="微软雅黑" w:hAnsi="微软雅黑" w:eastAsia="微软雅黑" w:cs="宋体"/>
                <w:kern w:val="0"/>
                <w:sz w:val="18"/>
                <w:szCs w:val="18"/>
              </w:rPr>
              <w:t> WOS:000320120000015</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语言:</w:t>
            </w:r>
            <w:r>
              <w:rPr>
                <w:rFonts w:hint="eastAsia" w:ascii="微软雅黑" w:hAnsi="微软雅黑" w:eastAsia="微软雅黑" w:cs="宋体"/>
                <w:kern w:val="0"/>
                <w:sz w:val="18"/>
                <w:szCs w:val="18"/>
              </w:rPr>
              <w:t> English</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文献类型:</w:t>
            </w:r>
            <w:r>
              <w:rPr>
                <w:rFonts w:hint="eastAsia" w:ascii="微软雅黑" w:hAnsi="微软雅黑" w:eastAsia="微软雅黑" w:cs="宋体"/>
                <w:kern w:val="0"/>
                <w:sz w:val="18"/>
                <w:szCs w:val="18"/>
              </w:rPr>
              <w:t> Review</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地址:</w:t>
            </w:r>
            <w:r>
              <w:rPr>
                <w:rFonts w:hint="eastAsia" w:ascii="微软雅黑" w:hAnsi="微软雅黑" w:eastAsia="微软雅黑" w:cs="宋体"/>
                <w:kern w:val="0"/>
                <w:sz w:val="18"/>
                <w:szCs w:val="18"/>
              </w:rPr>
              <w:t> [Luo, Xiliang] Qingdao Univ Sci &amp; Technol, Coll Chem &amp; Mol Engn, Minist Educ, Key Lab Biochem Anal, Qingdao 266042, Peoples R China.</w:t>
            </w:r>
            <w:r>
              <w:rPr>
                <w:rFonts w:hint="eastAsia" w:ascii="微软雅黑" w:hAnsi="微软雅黑" w:eastAsia="微软雅黑" w:cs="宋体"/>
                <w:kern w:val="0"/>
                <w:sz w:val="18"/>
                <w:szCs w:val="18"/>
              </w:rPr>
              <w:br w:type="textWrapping"/>
            </w:r>
            <w:r>
              <w:rPr>
                <w:rFonts w:hint="eastAsia" w:ascii="微软雅黑" w:hAnsi="微软雅黑" w:eastAsia="微软雅黑" w:cs="宋体"/>
                <w:kern w:val="0"/>
                <w:sz w:val="18"/>
                <w:szCs w:val="18"/>
              </w:rPr>
              <w:t>[Luo, Xiliang; Davis, Jason J.] Univ Oxford, Dept Chem, Oxford OX1 3TA, England.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通讯作者地址:</w:t>
            </w:r>
            <w:r>
              <w:rPr>
                <w:rFonts w:hint="eastAsia" w:ascii="微软雅黑" w:hAnsi="微软雅黑" w:eastAsia="微软雅黑" w:cs="宋体"/>
                <w:kern w:val="0"/>
                <w:sz w:val="18"/>
                <w:szCs w:val="18"/>
              </w:rPr>
              <w:t> Davis, JJ (通讯作者)，Univ Oxford, Dept Chem, S Parks Rd, Oxford OX1 3TA, England.</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电子邮件地址:</w:t>
            </w:r>
            <w:r>
              <w:rPr>
                <w:rFonts w:hint="eastAsia" w:ascii="微软雅黑" w:hAnsi="微软雅黑" w:eastAsia="微软雅黑" w:cs="宋体"/>
                <w:kern w:val="0"/>
                <w:sz w:val="18"/>
                <w:szCs w:val="18"/>
              </w:rPr>
              <w:t> Jason.davis@chem.ox.ac.uk</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Web of Science 类别:</w:t>
            </w:r>
            <w:r>
              <w:rPr>
                <w:rFonts w:hint="eastAsia" w:ascii="微软雅黑" w:hAnsi="微软雅黑" w:eastAsia="微软雅黑" w:cs="宋体"/>
                <w:kern w:val="0"/>
                <w:sz w:val="18"/>
                <w:szCs w:val="18"/>
              </w:rPr>
              <w:t> Chemistry, Multidisciplinary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研究方向:</w:t>
            </w:r>
            <w:r>
              <w:rPr>
                <w:rFonts w:hint="eastAsia" w:ascii="微软雅黑" w:hAnsi="微软雅黑" w:eastAsia="微软雅黑" w:cs="宋体"/>
                <w:kern w:val="0"/>
                <w:sz w:val="18"/>
                <w:szCs w:val="18"/>
              </w:rPr>
              <w:t> Chemistry</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ISSN:</w:t>
            </w:r>
            <w:r>
              <w:rPr>
                <w:rFonts w:hint="eastAsia" w:ascii="微软雅黑" w:hAnsi="微软雅黑" w:eastAsia="微软雅黑" w:cs="宋体"/>
                <w:kern w:val="0"/>
                <w:sz w:val="18"/>
                <w:szCs w:val="18"/>
              </w:rPr>
              <w:t> 0306-0012</w:t>
            </w:r>
          </w:p>
        </w:tc>
      </w:tr>
      <w:tr>
        <w:tblPrEx>
          <w:tblCellMar>
            <w:top w:w="15" w:type="dxa"/>
            <w:left w:w="15" w:type="dxa"/>
            <w:bottom w:w="15" w:type="dxa"/>
            <w:right w:w="15" w:type="dxa"/>
          </w:tblCellMar>
        </w:tblPrEx>
        <w:trPr>
          <w:tblCellSpacing w:w="15" w:type="dxa"/>
        </w:trPr>
        <w:tc>
          <w:tcPr>
            <w:tcW w:w="0" w:type="auto"/>
            <w:vAlign w:val="center"/>
          </w:tcPr>
          <w:p>
            <w:pPr>
              <w:widowControl/>
              <w:adjustRightInd w:val="0"/>
              <w:snapToGrid w:val="0"/>
              <w:jc w:val="left"/>
              <w:rPr>
                <w:rFonts w:ascii="微软雅黑" w:hAnsi="微软雅黑" w:eastAsia="微软雅黑" w:cs="宋体"/>
                <w:kern w:val="0"/>
                <w:sz w:val="18"/>
                <w:szCs w:val="18"/>
              </w:rPr>
            </w:pPr>
            <w:r>
              <w:rPr>
                <w:rFonts w:hint="eastAsia" w:ascii="微软雅黑" w:hAnsi="微软雅黑" w:eastAsia="微软雅黑" w:cs="宋体"/>
                <w:b/>
                <w:bCs/>
                <w:kern w:val="0"/>
                <w:sz w:val="18"/>
                <w:szCs w:val="18"/>
              </w:rPr>
              <w:t>eISSN:</w:t>
            </w:r>
            <w:r>
              <w:rPr>
                <w:rFonts w:hint="eastAsia" w:ascii="微软雅黑" w:hAnsi="微软雅黑" w:eastAsia="微软雅黑" w:cs="宋体"/>
                <w:kern w:val="0"/>
                <w:sz w:val="18"/>
                <w:szCs w:val="18"/>
              </w:rPr>
              <w:t> 1460-4744</w:t>
            </w:r>
          </w:p>
        </w:tc>
      </w:tr>
    </w:tbl>
    <w:p>
      <w:pPr>
        <w:pStyle w:val="5"/>
        <w:tabs>
          <w:tab w:val="left" w:pos="567"/>
        </w:tabs>
        <w:spacing w:after="240" w:line="300" w:lineRule="auto"/>
        <w:rPr>
          <w:rFonts w:ascii="Times New Roman" w:hAnsi="Times New Roman" w:eastAsia="宋体" w:cs="Times New Roman"/>
          <w:b/>
          <w:bCs/>
          <w:sz w:val="24"/>
          <w:szCs w:val="24"/>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EE181"/>
    <w:multiLevelType w:val="singleLevel"/>
    <w:tmpl w:val="8E3EE181"/>
    <w:lvl w:ilvl="0" w:tentative="0">
      <w:start w:val="2"/>
      <w:numFmt w:val="decimal"/>
      <w:suff w:val="space"/>
      <w:lvlText w:val="%1."/>
      <w:lvlJc w:val="left"/>
    </w:lvl>
  </w:abstractNum>
  <w:abstractNum w:abstractNumId="1">
    <w:nsid w:val="9AB66C21"/>
    <w:multiLevelType w:val="singleLevel"/>
    <w:tmpl w:val="9AB66C21"/>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A0MmI3YjdjNjVmNGNiOWRhYTI4NDVmODc4M2IyMjMifQ=="/>
  </w:docVars>
  <w:rsids>
    <w:rsidRoot w:val="00FC5C29"/>
    <w:rsid w:val="00007850"/>
    <w:rsid w:val="00021F80"/>
    <w:rsid w:val="00022A7F"/>
    <w:rsid w:val="00023BAE"/>
    <w:rsid w:val="00025FC5"/>
    <w:rsid w:val="00030796"/>
    <w:rsid w:val="000314A2"/>
    <w:rsid w:val="00031D31"/>
    <w:rsid w:val="000331F1"/>
    <w:rsid w:val="000345F3"/>
    <w:rsid w:val="000355AF"/>
    <w:rsid w:val="00040C01"/>
    <w:rsid w:val="00065795"/>
    <w:rsid w:val="00072B21"/>
    <w:rsid w:val="0007562A"/>
    <w:rsid w:val="00077BB1"/>
    <w:rsid w:val="00084988"/>
    <w:rsid w:val="00094B79"/>
    <w:rsid w:val="00096A5A"/>
    <w:rsid w:val="000979F4"/>
    <w:rsid w:val="000A2253"/>
    <w:rsid w:val="000A32CB"/>
    <w:rsid w:val="000A6EF9"/>
    <w:rsid w:val="000A7D9F"/>
    <w:rsid w:val="000B0BEB"/>
    <w:rsid w:val="000B298A"/>
    <w:rsid w:val="000B3DD0"/>
    <w:rsid w:val="000B74AA"/>
    <w:rsid w:val="000C1C8F"/>
    <w:rsid w:val="000D4C98"/>
    <w:rsid w:val="000E1C2E"/>
    <w:rsid w:val="000F3733"/>
    <w:rsid w:val="000F7B5A"/>
    <w:rsid w:val="00100990"/>
    <w:rsid w:val="00100A6C"/>
    <w:rsid w:val="00103E9C"/>
    <w:rsid w:val="00112ED4"/>
    <w:rsid w:val="001166CD"/>
    <w:rsid w:val="00121567"/>
    <w:rsid w:val="001235F3"/>
    <w:rsid w:val="001318E5"/>
    <w:rsid w:val="00137B03"/>
    <w:rsid w:val="00137B88"/>
    <w:rsid w:val="001420E1"/>
    <w:rsid w:val="001458CE"/>
    <w:rsid w:val="00150D9B"/>
    <w:rsid w:val="00160768"/>
    <w:rsid w:val="001607D9"/>
    <w:rsid w:val="00161E69"/>
    <w:rsid w:val="00163CF1"/>
    <w:rsid w:val="00164110"/>
    <w:rsid w:val="00166A39"/>
    <w:rsid w:val="0017412C"/>
    <w:rsid w:val="00174FCF"/>
    <w:rsid w:val="0018370A"/>
    <w:rsid w:val="001848E7"/>
    <w:rsid w:val="00186A3A"/>
    <w:rsid w:val="001931B5"/>
    <w:rsid w:val="00196D92"/>
    <w:rsid w:val="001A3C71"/>
    <w:rsid w:val="001D0B7A"/>
    <w:rsid w:val="001D144D"/>
    <w:rsid w:val="001D1A8C"/>
    <w:rsid w:val="001D28B3"/>
    <w:rsid w:val="001D6B3C"/>
    <w:rsid w:val="001F1532"/>
    <w:rsid w:val="00206A0B"/>
    <w:rsid w:val="00215062"/>
    <w:rsid w:val="00223A1D"/>
    <w:rsid w:val="002246EA"/>
    <w:rsid w:val="002273F7"/>
    <w:rsid w:val="00231E48"/>
    <w:rsid w:val="00242D2A"/>
    <w:rsid w:val="00243813"/>
    <w:rsid w:val="00244490"/>
    <w:rsid w:val="00247162"/>
    <w:rsid w:val="0025011B"/>
    <w:rsid w:val="00255B6E"/>
    <w:rsid w:val="0026205D"/>
    <w:rsid w:val="00262D0F"/>
    <w:rsid w:val="002636C6"/>
    <w:rsid w:val="002665E5"/>
    <w:rsid w:val="00276378"/>
    <w:rsid w:val="00283775"/>
    <w:rsid w:val="002837E8"/>
    <w:rsid w:val="00286B3A"/>
    <w:rsid w:val="002908DE"/>
    <w:rsid w:val="00295252"/>
    <w:rsid w:val="0029575D"/>
    <w:rsid w:val="00296B2D"/>
    <w:rsid w:val="002A3808"/>
    <w:rsid w:val="002A3F92"/>
    <w:rsid w:val="002A5A7B"/>
    <w:rsid w:val="002C026F"/>
    <w:rsid w:val="002C03EC"/>
    <w:rsid w:val="002C1A3B"/>
    <w:rsid w:val="002C2639"/>
    <w:rsid w:val="002C2648"/>
    <w:rsid w:val="002D0007"/>
    <w:rsid w:val="002D5EFD"/>
    <w:rsid w:val="002D73C2"/>
    <w:rsid w:val="002E63FA"/>
    <w:rsid w:val="002E71FD"/>
    <w:rsid w:val="00300322"/>
    <w:rsid w:val="00301AC8"/>
    <w:rsid w:val="00302876"/>
    <w:rsid w:val="0030353A"/>
    <w:rsid w:val="003130E9"/>
    <w:rsid w:val="003152C5"/>
    <w:rsid w:val="00331FD6"/>
    <w:rsid w:val="00337180"/>
    <w:rsid w:val="00353A19"/>
    <w:rsid w:val="00362C9E"/>
    <w:rsid w:val="0036574B"/>
    <w:rsid w:val="00366693"/>
    <w:rsid w:val="0037506D"/>
    <w:rsid w:val="00380D38"/>
    <w:rsid w:val="00390D79"/>
    <w:rsid w:val="0039319D"/>
    <w:rsid w:val="00394893"/>
    <w:rsid w:val="003976FD"/>
    <w:rsid w:val="003A1501"/>
    <w:rsid w:val="003A3663"/>
    <w:rsid w:val="003A63F2"/>
    <w:rsid w:val="003B0E73"/>
    <w:rsid w:val="003B0ECA"/>
    <w:rsid w:val="003C1133"/>
    <w:rsid w:val="003C1812"/>
    <w:rsid w:val="003D6EC2"/>
    <w:rsid w:val="003E422E"/>
    <w:rsid w:val="004002C8"/>
    <w:rsid w:val="0040522E"/>
    <w:rsid w:val="004101E2"/>
    <w:rsid w:val="00412ECE"/>
    <w:rsid w:val="00413694"/>
    <w:rsid w:val="00416F97"/>
    <w:rsid w:val="00417F43"/>
    <w:rsid w:val="004245A0"/>
    <w:rsid w:val="0042629E"/>
    <w:rsid w:val="00434125"/>
    <w:rsid w:val="00434DF8"/>
    <w:rsid w:val="004469D5"/>
    <w:rsid w:val="00454598"/>
    <w:rsid w:val="00457127"/>
    <w:rsid w:val="0046091B"/>
    <w:rsid w:val="00464533"/>
    <w:rsid w:val="00470942"/>
    <w:rsid w:val="0047661C"/>
    <w:rsid w:val="0048662A"/>
    <w:rsid w:val="0049420F"/>
    <w:rsid w:val="004970FE"/>
    <w:rsid w:val="004A7D30"/>
    <w:rsid w:val="004B1078"/>
    <w:rsid w:val="004B396A"/>
    <w:rsid w:val="004C2860"/>
    <w:rsid w:val="004D492C"/>
    <w:rsid w:val="004F33E3"/>
    <w:rsid w:val="004F3751"/>
    <w:rsid w:val="005047EA"/>
    <w:rsid w:val="00504C78"/>
    <w:rsid w:val="005051F1"/>
    <w:rsid w:val="00533D7C"/>
    <w:rsid w:val="0053459B"/>
    <w:rsid w:val="00540481"/>
    <w:rsid w:val="00546644"/>
    <w:rsid w:val="0055726C"/>
    <w:rsid w:val="00557E31"/>
    <w:rsid w:val="005643D1"/>
    <w:rsid w:val="0056794D"/>
    <w:rsid w:val="005701FC"/>
    <w:rsid w:val="005725EE"/>
    <w:rsid w:val="0057486F"/>
    <w:rsid w:val="005819F8"/>
    <w:rsid w:val="00582124"/>
    <w:rsid w:val="00586659"/>
    <w:rsid w:val="00587A62"/>
    <w:rsid w:val="00595C7D"/>
    <w:rsid w:val="005A2C10"/>
    <w:rsid w:val="005A3C88"/>
    <w:rsid w:val="005A46D3"/>
    <w:rsid w:val="005A7BBD"/>
    <w:rsid w:val="005B207D"/>
    <w:rsid w:val="005C2869"/>
    <w:rsid w:val="005C563F"/>
    <w:rsid w:val="005E0EB7"/>
    <w:rsid w:val="005E3BB2"/>
    <w:rsid w:val="005F142A"/>
    <w:rsid w:val="005F6761"/>
    <w:rsid w:val="005F6B20"/>
    <w:rsid w:val="005F6FA1"/>
    <w:rsid w:val="00612594"/>
    <w:rsid w:val="00613C9C"/>
    <w:rsid w:val="00617703"/>
    <w:rsid w:val="00621B99"/>
    <w:rsid w:val="006222AD"/>
    <w:rsid w:val="00624CA2"/>
    <w:rsid w:val="00624FFD"/>
    <w:rsid w:val="00626E45"/>
    <w:rsid w:val="00643FE9"/>
    <w:rsid w:val="0064503D"/>
    <w:rsid w:val="00657355"/>
    <w:rsid w:val="00657AFC"/>
    <w:rsid w:val="00660027"/>
    <w:rsid w:val="00681CF4"/>
    <w:rsid w:val="0068459C"/>
    <w:rsid w:val="00686199"/>
    <w:rsid w:val="00686E9B"/>
    <w:rsid w:val="00691294"/>
    <w:rsid w:val="0069150B"/>
    <w:rsid w:val="00691905"/>
    <w:rsid w:val="00694F99"/>
    <w:rsid w:val="00697F67"/>
    <w:rsid w:val="006A65CF"/>
    <w:rsid w:val="006B351F"/>
    <w:rsid w:val="006B5CE4"/>
    <w:rsid w:val="006C1911"/>
    <w:rsid w:val="006C1F43"/>
    <w:rsid w:val="006D1F50"/>
    <w:rsid w:val="006D50F6"/>
    <w:rsid w:val="006D7B1C"/>
    <w:rsid w:val="006F5F07"/>
    <w:rsid w:val="006F678A"/>
    <w:rsid w:val="00700366"/>
    <w:rsid w:val="00702744"/>
    <w:rsid w:val="00705B97"/>
    <w:rsid w:val="00711CF7"/>
    <w:rsid w:val="00744E08"/>
    <w:rsid w:val="00750E3A"/>
    <w:rsid w:val="00750E9F"/>
    <w:rsid w:val="00755EBA"/>
    <w:rsid w:val="00756E2E"/>
    <w:rsid w:val="00760488"/>
    <w:rsid w:val="00760F50"/>
    <w:rsid w:val="00761689"/>
    <w:rsid w:val="007702F0"/>
    <w:rsid w:val="00770D13"/>
    <w:rsid w:val="00773C1D"/>
    <w:rsid w:val="00773F09"/>
    <w:rsid w:val="007757D1"/>
    <w:rsid w:val="00794834"/>
    <w:rsid w:val="00794913"/>
    <w:rsid w:val="00794FB6"/>
    <w:rsid w:val="0079760E"/>
    <w:rsid w:val="007A0DF8"/>
    <w:rsid w:val="007A1574"/>
    <w:rsid w:val="007A38CF"/>
    <w:rsid w:val="007C182E"/>
    <w:rsid w:val="007C3E18"/>
    <w:rsid w:val="007D2A64"/>
    <w:rsid w:val="007D2B10"/>
    <w:rsid w:val="007E4572"/>
    <w:rsid w:val="007E6AD4"/>
    <w:rsid w:val="007F267B"/>
    <w:rsid w:val="0080510E"/>
    <w:rsid w:val="00807202"/>
    <w:rsid w:val="00812705"/>
    <w:rsid w:val="00817CD6"/>
    <w:rsid w:val="00821C0E"/>
    <w:rsid w:val="00822758"/>
    <w:rsid w:val="00825D72"/>
    <w:rsid w:val="00827187"/>
    <w:rsid w:val="008273FC"/>
    <w:rsid w:val="0083543A"/>
    <w:rsid w:val="00837B2E"/>
    <w:rsid w:val="00851ECE"/>
    <w:rsid w:val="00853340"/>
    <w:rsid w:val="00854A62"/>
    <w:rsid w:val="00856712"/>
    <w:rsid w:val="00860F3F"/>
    <w:rsid w:val="00875A97"/>
    <w:rsid w:val="0088308B"/>
    <w:rsid w:val="00886937"/>
    <w:rsid w:val="008914A4"/>
    <w:rsid w:val="008920ED"/>
    <w:rsid w:val="008933DC"/>
    <w:rsid w:val="00895ED1"/>
    <w:rsid w:val="008B6FA0"/>
    <w:rsid w:val="008C0428"/>
    <w:rsid w:val="008C48EF"/>
    <w:rsid w:val="008E5949"/>
    <w:rsid w:val="008F00FA"/>
    <w:rsid w:val="009012F8"/>
    <w:rsid w:val="00904585"/>
    <w:rsid w:val="0091268A"/>
    <w:rsid w:val="009137DE"/>
    <w:rsid w:val="0091533C"/>
    <w:rsid w:val="0092568C"/>
    <w:rsid w:val="00927303"/>
    <w:rsid w:val="0094467D"/>
    <w:rsid w:val="00951490"/>
    <w:rsid w:val="00963C46"/>
    <w:rsid w:val="00966154"/>
    <w:rsid w:val="009719E4"/>
    <w:rsid w:val="00976401"/>
    <w:rsid w:val="009770F1"/>
    <w:rsid w:val="00983052"/>
    <w:rsid w:val="00985292"/>
    <w:rsid w:val="009853F5"/>
    <w:rsid w:val="0099562E"/>
    <w:rsid w:val="009964FD"/>
    <w:rsid w:val="00997952"/>
    <w:rsid w:val="009A0082"/>
    <w:rsid w:val="009A20E7"/>
    <w:rsid w:val="009A4CAC"/>
    <w:rsid w:val="009B657A"/>
    <w:rsid w:val="009B6A8E"/>
    <w:rsid w:val="009C06AF"/>
    <w:rsid w:val="009E32FA"/>
    <w:rsid w:val="009E5797"/>
    <w:rsid w:val="009E5D62"/>
    <w:rsid w:val="009F033B"/>
    <w:rsid w:val="009F40B1"/>
    <w:rsid w:val="00A00B94"/>
    <w:rsid w:val="00A02348"/>
    <w:rsid w:val="00A02AE7"/>
    <w:rsid w:val="00A031C3"/>
    <w:rsid w:val="00A0751D"/>
    <w:rsid w:val="00A076A9"/>
    <w:rsid w:val="00A12FDB"/>
    <w:rsid w:val="00A160A0"/>
    <w:rsid w:val="00A16D35"/>
    <w:rsid w:val="00A171AF"/>
    <w:rsid w:val="00A25D29"/>
    <w:rsid w:val="00A313CE"/>
    <w:rsid w:val="00A361F4"/>
    <w:rsid w:val="00A433BE"/>
    <w:rsid w:val="00A434A7"/>
    <w:rsid w:val="00A60977"/>
    <w:rsid w:val="00A61957"/>
    <w:rsid w:val="00A719B7"/>
    <w:rsid w:val="00A74D6D"/>
    <w:rsid w:val="00A83AC2"/>
    <w:rsid w:val="00A94165"/>
    <w:rsid w:val="00A95494"/>
    <w:rsid w:val="00A97CB6"/>
    <w:rsid w:val="00AB0114"/>
    <w:rsid w:val="00AB0D26"/>
    <w:rsid w:val="00AB102E"/>
    <w:rsid w:val="00AB5611"/>
    <w:rsid w:val="00AB5672"/>
    <w:rsid w:val="00AB753E"/>
    <w:rsid w:val="00AC0A2B"/>
    <w:rsid w:val="00AC69E9"/>
    <w:rsid w:val="00AD20E9"/>
    <w:rsid w:val="00AD767D"/>
    <w:rsid w:val="00AE57AA"/>
    <w:rsid w:val="00AF53AB"/>
    <w:rsid w:val="00AF70DB"/>
    <w:rsid w:val="00B01667"/>
    <w:rsid w:val="00B06EAF"/>
    <w:rsid w:val="00B20BFF"/>
    <w:rsid w:val="00B2178C"/>
    <w:rsid w:val="00B21C50"/>
    <w:rsid w:val="00B2297E"/>
    <w:rsid w:val="00B232D2"/>
    <w:rsid w:val="00B23A63"/>
    <w:rsid w:val="00B3395D"/>
    <w:rsid w:val="00B376B6"/>
    <w:rsid w:val="00B469F8"/>
    <w:rsid w:val="00B517A0"/>
    <w:rsid w:val="00B62C3D"/>
    <w:rsid w:val="00B637B4"/>
    <w:rsid w:val="00B70B26"/>
    <w:rsid w:val="00B8559B"/>
    <w:rsid w:val="00B85824"/>
    <w:rsid w:val="00B868AF"/>
    <w:rsid w:val="00B874B8"/>
    <w:rsid w:val="00B94C21"/>
    <w:rsid w:val="00B97B2A"/>
    <w:rsid w:val="00BA0398"/>
    <w:rsid w:val="00BA6E58"/>
    <w:rsid w:val="00BB0B5D"/>
    <w:rsid w:val="00BB5406"/>
    <w:rsid w:val="00BB626A"/>
    <w:rsid w:val="00BB7277"/>
    <w:rsid w:val="00BC0946"/>
    <w:rsid w:val="00BC1CC9"/>
    <w:rsid w:val="00BC3D6E"/>
    <w:rsid w:val="00BC6FAC"/>
    <w:rsid w:val="00BD69F3"/>
    <w:rsid w:val="00C02757"/>
    <w:rsid w:val="00C02930"/>
    <w:rsid w:val="00C02C89"/>
    <w:rsid w:val="00C06DDF"/>
    <w:rsid w:val="00C071A6"/>
    <w:rsid w:val="00C27CBB"/>
    <w:rsid w:val="00C326BF"/>
    <w:rsid w:val="00C3410D"/>
    <w:rsid w:val="00C3665A"/>
    <w:rsid w:val="00C44A6F"/>
    <w:rsid w:val="00C53980"/>
    <w:rsid w:val="00C56562"/>
    <w:rsid w:val="00C6164E"/>
    <w:rsid w:val="00C61B25"/>
    <w:rsid w:val="00C66FC8"/>
    <w:rsid w:val="00C7402C"/>
    <w:rsid w:val="00C85074"/>
    <w:rsid w:val="00C908E9"/>
    <w:rsid w:val="00C967BC"/>
    <w:rsid w:val="00C97A7B"/>
    <w:rsid w:val="00CA5B4B"/>
    <w:rsid w:val="00CA5BC6"/>
    <w:rsid w:val="00CB102A"/>
    <w:rsid w:val="00CB30FF"/>
    <w:rsid w:val="00CB4ED9"/>
    <w:rsid w:val="00CB51B2"/>
    <w:rsid w:val="00CC0D1A"/>
    <w:rsid w:val="00CC32A8"/>
    <w:rsid w:val="00CC381D"/>
    <w:rsid w:val="00CC61CD"/>
    <w:rsid w:val="00CD0FA0"/>
    <w:rsid w:val="00CE2F6C"/>
    <w:rsid w:val="00CE56F0"/>
    <w:rsid w:val="00D02363"/>
    <w:rsid w:val="00D037C0"/>
    <w:rsid w:val="00D07D71"/>
    <w:rsid w:val="00D11EA1"/>
    <w:rsid w:val="00D27129"/>
    <w:rsid w:val="00D30967"/>
    <w:rsid w:val="00D34254"/>
    <w:rsid w:val="00D34485"/>
    <w:rsid w:val="00D3493E"/>
    <w:rsid w:val="00D5178C"/>
    <w:rsid w:val="00D518DE"/>
    <w:rsid w:val="00D51D00"/>
    <w:rsid w:val="00D522BE"/>
    <w:rsid w:val="00D6128E"/>
    <w:rsid w:val="00D75258"/>
    <w:rsid w:val="00D75284"/>
    <w:rsid w:val="00D76CC3"/>
    <w:rsid w:val="00D842CE"/>
    <w:rsid w:val="00DA5350"/>
    <w:rsid w:val="00DB4B8E"/>
    <w:rsid w:val="00DC20F0"/>
    <w:rsid w:val="00DC65E6"/>
    <w:rsid w:val="00DD12F7"/>
    <w:rsid w:val="00DD1684"/>
    <w:rsid w:val="00DD6AB7"/>
    <w:rsid w:val="00DD7761"/>
    <w:rsid w:val="00DE3EEE"/>
    <w:rsid w:val="00DF2594"/>
    <w:rsid w:val="00DF2960"/>
    <w:rsid w:val="00DF3B27"/>
    <w:rsid w:val="00E0198F"/>
    <w:rsid w:val="00E02241"/>
    <w:rsid w:val="00E061AF"/>
    <w:rsid w:val="00E064F7"/>
    <w:rsid w:val="00E1575E"/>
    <w:rsid w:val="00E2018E"/>
    <w:rsid w:val="00E2333E"/>
    <w:rsid w:val="00E25CCC"/>
    <w:rsid w:val="00E32EBF"/>
    <w:rsid w:val="00E35EF2"/>
    <w:rsid w:val="00E37CC9"/>
    <w:rsid w:val="00E46C1A"/>
    <w:rsid w:val="00E4790A"/>
    <w:rsid w:val="00E5055C"/>
    <w:rsid w:val="00E54ACD"/>
    <w:rsid w:val="00E555C2"/>
    <w:rsid w:val="00E6004A"/>
    <w:rsid w:val="00E61216"/>
    <w:rsid w:val="00E65998"/>
    <w:rsid w:val="00E6704B"/>
    <w:rsid w:val="00E672B2"/>
    <w:rsid w:val="00E67764"/>
    <w:rsid w:val="00E72363"/>
    <w:rsid w:val="00E73DDF"/>
    <w:rsid w:val="00E7648B"/>
    <w:rsid w:val="00E83138"/>
    <w:rsid w:val="00E85F41"/>
    <w:rsid w:val="00E8602B"/>
    <w:rsid w:val="00E8726E"/>
    <w:rsid w:val="00EB2A3E"/>
    <w:rsid w:val="00EB7972"/>
    <w:rsid w:val="00EB7A1E"/>
    <w:rsid w:val="00EC08F8"/>
    <w:rsid w:val="00ED24D3"/>
    <w:rsid w:val="00ED4A8F"/>
    <w:rsid w:val="00ED4B74"/>
    <w:rsid w:val="00ED59A5"/>
    <w:rsid w:val="00ED6F4D"/>
    <w:rsid w:val="00EF22F7"/>
    <w:rsid w:val="00F07704"/>
    <w:rsid w:val="00F1697F"/>
    <w:rsid w:val="00F22C7A"/>
    <w:rsid w:val="00F40489"/>
    <w:rsid w:val="00F40666"/>
    <w:rsid w:val="00F42615"/>
    <w:rsid w:val="00F55C7D"/>
    <w:rsid w:val="00F64FDD"/>
    <w:rsid w:val="00F650C7"/>
    <w:rsid w:val="00F81969"/>
    <w:rsid w:val="00F82B89"/>
    <w:rsid w:val="00F868E3"/>
    <w:rsid w:val="00F90A78"/>
    <w:rsid w:val="00F958D7"/>
    <w:rsid w:val="00FA3DE6"/>
    <w:rsid w:val="00FA5009"/>
    <w:rsid w:val="00FB5ECE"/>
    <w:rsid w:val="00FB7D34"/>
    <w:rsid w:val="00FB7F4E"/>
    <w:rsid w:val="00FC0B1E"/>
    <w:rsid w:val="00FC455F"/>
    <w:rsid w:val="00FC5C29"/>
    <w:rsid w:val="00FC730C"/>
    <w:rsid w:val="00FC760E"/>
    <w:rsid w:val="00FD3727"/>
    <w:rsid w:val="00FD3796"/>
    <w:rsid w:val="00FD468D"/>
    <w:rsid w:val="00FD75F2"/>
    <w:rsid w:val="00FF317B"/>
    <w:rsid w:val="00FF7604"/>
    <w:rsid w:val="01B43451"/>
    <w:rsid w:val="03101285"/>
    <w:rsid w:val="04D34ABB"/>
    <w:rsid w:val="093B45C2"/>
    <w:rsid w:val="0D075066"/>
    <w:rsid w:val="0E9C279A"/>
    <w:rsid w:val="0F551881"/>
    <w:rsid w:val="107522FB"/>
    <w:rsid w:val="15554CA3"/>
    <w:rsid w:val="160E69A6"/>
    <w:rsid w:val="17355F65"/>
    <w:rsid w:val="17461E14"/>
    <w:rsid w:val="1A9A2283"/>
    <w:rsid w:val="1EE92861"/>
    <w:rsid w:val="1F3572AA"/>
    <w:rsid w:val="20DD4AA3"/>
    <w:rsid w:val="224A1A4E"/>
    <w:rsid w:val="2B421366"/>
    <w:rsid w:val="2B905D86"/>
    <w:rsid w:val="2F2363E5"/>
    <w:rsid w:val="30314546"/>
    <w:rsid w:val="303925CE"/>
    <w:rsid w:val="313E5C07"/>
    <w:rsid w:val="32E30B4F"/>
    <w:rsid w:val="335D2A64"/>
    <w:rsid w:val="33843E73"/>
    <w:rsid w:val="349901A2"/>
    <w:rsid w:val="34FA7FF7"/>
    <w:rsid w:val="373E2DDF"/>
    <w:rsid w:val="3C5A65AE"/>
    <w:rsid w:val="3C85107A"/>
    <w:rsid w:val="429656F7"/>
    <w:rsid w:val="452F4961"/>
    <w:rsid w:val="46C759E3"/>
    <w:rsid w:val="4944592C"/>
    <w:rsid w:val="4DE64E14"/>
    <w:rsid w:val="4F46651B"/>
    <w:rsid w:val="52546A2B"/>
    <w:rsid w:val="53640B4F"/>
    <w:rsid w:val="54A26698"/>
    <w:rsid w:val="54AA7634"/>
    <w:rsid w:val="56033075"/>
    <w:rsid w:val="563818D0"/>
    <w:rsid w:val="569312C2"/>
    <w:rsid w:val="57D01F4F"/>
    <w:rsid w:val="581F559B"/>
    <w:rsid w:val="5C1D0A77"/>
    <w:rsid w:val="5E3B622B"/>
    <w:rsid w:val="60D936BD"/>
    <w:rsid w:val="66C50A94"/>
    <w:rsid w:val="675039C2"/>
    <w:rsid w:val="67C543DC"/>
    <w:rsid w:val="68725BBA"/>
    <w:rsid w:val="6B166010"/>
    <w:rsid w:val="6B604FD5"/>
    <w:rsid w:val="6BD53A0D"/>
    <w:rsid w:val="6C4E7F76"/>
    <w:rsid w:val="6C93095F"/>
    <w:rsid w:val="6D322738"/>
    <w:rsid w:val="6F187BF7"/>
    <w:rsid w:val="6F5E718D"/>
    <w:rsid w:val="6FF40A70"/>
    <w:rsid w:val="70787F44"/>
    <w:rsid w:val="72D81BBC"/>
    <w:rsid w:val="742A4FF5"/>
    <w:rsid w:val="7A3251AA"/>
    <w:rsid w:val="7E040795"/>
    <w:rsid w:val="7EBA5A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unhideWhenUsed/>
    <w:qFormat/>
    <w:uiPriority w:val="99"/>
    <w:pPr>
      <w:ind w:left="115"/>
    </w:pPr>
    <w:rPr>
      <w:rFonts w:eastAsia="Times New Roman"/>
      <w:sz w:val="17"/>
      <w:szCs w:val="17"/>
    </w:rPr>
  </w:style>
  <w:style w:type="paragraph" w:styleId="6">
    <w:name w:val="Balloon Text"/>
    <w:basedOn w:val="1"/>
    <w:link w:val="15"/>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19"/>
    <w:qFormat/>
    <w:uiPriority w:val="10"/>
    <w:pPr>
      <w:spacing w:before="240" w:after="60"/>
      <w:jc w:val="center"/>
      <w:outlineLvl w:val="0"/>
    </w:pPr>
    <w:rPr>
      <w:rFonts w:ascii="Cambria" w:hAnsi="Cambria"/>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unhideWhenUsed/>
    <w:qFormat/>
    <w:uiPriority w:val="99"/>
    <w:rPr>
      <w:color w:val="0000FF"/>
      <w:u w:val="single"/>
    </w:rPr>
  </w:style>
  <w:style w:type="character" w:customStyle="1" w:styleId="15">
    <w:name w:val="批注框文本 Char"/>
    <w:basedOn w:val="13"/>
    <w:link w:val="6"/>
    <w:semiHidden/>
    <w:qFormat/>
    <w:uiPriority w:val="99"/>
    <w:rPr>
      <w:sz w:val="18"/>
      <w:szCs w:val="18"/>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标题 2 Char"/>
    <w:basedOn w:val="13"/>
    <w:link w:val="3"/>
    <w:qFormat/>
    <w:uiPriority w:val="9"/>
    <w:rPr>
      <w:rFonts w:asciiTheme="majorHAnsi" w:hAnsiTheme="majorHAnsi" w:eastAsiaTheme="majorEastAsia" w:cstheme="majorBidi"/>
      <w:b/>
      <w:bCs/>
      <w:sz w:val="32"/>
      <w:szCs w:val="32"/>
    </w:rPr>
  </w:style>
  <w:style w:type="character" w:customStyle="1" w:styleId="19">
    <w:name w:val="标题 Char"/>
    <w:link w:val="10"/>
    <w:qFormat/>
    <w:uiPriority w:val="10"/>
    <w:rPr>
      <w:rFonts w:ascii="Cambria" w:hAnsi="Cambria"/>
      <w:b/>
      <w:bCs/>
      <w:sz w:val="32"/>
      <w:szCs w:val="32"/>
    </w:rPr>
  </w:style>
  <w:style w:type="character" w:customStyle="1" w:styleId="20">
    <w:name w:val="标题 字符1"/>
    <w:basedOn w:val="13"/>
    <w:qFormat/>
    <w:uiPriority w:val="10"/>
    <w:rPr>
      <w:rFonts w:asciiTheme="majorHAnsi" w:hAnsiTheme="majorHAnsi" w:eastAsiaTheme="majorEastAsia" w:cstheme="majorBidi"/>
      <w:b/>
      <w:bCs/>
      <w:sz w:val="32"/>
      <w:szCs w:val="32"/>
    </w:rPr>
  </w:style>
  <w:style w:type="character" w:customStyle="1" w:styleId="21">
    <w:name w:val="标题 1 Char"/>
    <w:basedOn w:val="13"/>
    <w:link w:val="2"/>
    <w:qFormat/>
    <w:uiPriority w:val="9"/>
    <w:rPr>
      <w:b/>
      <w:bCs/>
      <w:kern w:val="44"/>
      <w:sz w:val="44"/>
      <w:szCs w:val="44"/>
    </w:rPr>
  </w:style>
  <w:style w:type="paragraph" w:styleId="22">
    <w:name w:val="List Paragraph"/>
    <w:basedOn w:val="1"/>
    <w:qFormat/>
    <w:uiPriority w:val="34"/>
    <w:pPr>
      <w:ind w:firstLine="420" w:firstLineChars="200"/>
    </w:pPr>
  </w:style>
  <w:style w:type="character" w:customStyle="1" w:styleId="23">
    <w:name w:val="font1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emf"/><Relationship Id="rId8" Type="http://schemas.openxmlformats.org/officeDocument/2006/relationships/image" Target="media/image4.emf"/><Relationship Id="rId7" Type="http://schemas.openxmlformats.org/officeDocument/2006/relationships/image" Target="media/image3.emf"/><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6.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23&#24180;ESI&#31561;&#25253;&#21578;\202307%20ESI%20&#21270;&#23398;&#23398;&#31185;&#31616;&#25253;\ESI%20&#21270;&#23398;&#23398;&#31185;%20202303&#25968;&#25454;&#35745;&#31639;.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3&#24180;ESI&#31561;&#25253;&#21578;\202307%20ESI%20&#21270;&#23398;&#23398;&#31185;&#31616;&#25253;\ESI%20&#21270;&#23398;&#23398;&#31185;%20202307&#25968;&#25454;&#35745;&#3163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3&#24180;ESI&#31561;&#25253;&#21578;\202307%20ESI%20&#21270;&#23398;&#23398;&#31185;&#31616;&#25253;\ESI%20&#21270;&#23398;&#23398;&#31185;%20202307&#25968;&#25454;&#35745;&#3163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3&#24180;ESI&#31561;&#25253;&#21578;\202307%20ESI%20&#21270;&#23398;&#23398;&#31185;&#31616;&#25253;\ESI%20&#21270;&#23398;&#23398;&#31185;%20202307&#25968;&#25454;&#35745;&#3163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23&#24180;ESI&#31561;&#25253;&#21578;\202307%20ESI%20&#21270;&#23398;&#23398;&#31185;&#31616;&#25253;\ESI%20&#21270;&#23398;&#23398;&#31185;%20202307&#25968;&#25454;&#35745;&#3163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1"/>
          <c:tx>
            <c:strRef>
              <c:f>国际排名</c:f>
              <c:strCache>
                <c:ptCount val="1"/>
                <c:pt idx="0">
                  <c:v>国际排名</c:v>
                </c:pt>
              </c:strCache>
            </c:strRef>
          </c:tx>
          <c:spPr>
            <a:ln w="34925" cap="rnd" cmpd="sng" algn="ctr">
              <a:solidFill>
                <a:schemeClr val="accent3"/>
              </a:solidFill>
              <a:prstDash val="solid"/>
              <a:round/>
            </a:ln>
            <a:effectLst>
              <a:outerShdw blurRad="40000" dist="23000" dir="5400000" rotWithShape="0">
                <a:srgbClr val="000000">
                  <a:alpha val="35000"/>
                </a:srgbClr>
              </a:outerShdw>
            </a:effectLst>
          </c:spPr>
          <c:marker>
            <c:symbol val="circle"/>
            <c:size val="6"/>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w="9525" cap="flat" cmpd="sng" algn="ctr">
                <a:solidFill>
                  <a:schemeClr val="accent3"/>
                </a:solidFill>
                <a:prstDash val="solid"/>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Sheet3!$A$2:$A$14</c:f>
              <c:numCache>
                <c:formatCode>General</c:formatCode>
                <c:ptCount val="13"/>
                <c:pt idx="0">
                  <c:v>2021.7</c:v>
                </c:pt>
                <c:pt idx="1">
                  <c:v>2021.9</c:v>
                </c:pt>
                <c:pt idx="2">
                  <c:v>2021.11</c:v>
                </c:pt>
                <c:pt idx="3">
                  <c:v>2022.1</c:v>
                </c:pt>
                <c:pt idx="4">
                  <c:v>2022.3</c:v>
                </c:pt>
                <c:pt idx="5">
                  <c:v>2022.5</c:v>
                </c:pt>
                <c:pt idx="6">
                  <c:v>2022.7</c:v>
                </c:pt>
                <c:pt idx="7">
                  <c:v>2022.9</c:v>
                </c:pt>
                <c:pt idx="8">
                  <c:v>2022.11</c:v>
                </c:pt>
                <c:pt idx="9">
                  <c:v>2023.1</c:v>
                </c:pt>
                <c:pt idx="10">
                  <c:v>2023.3</c:v>
                </c:pt>
                <c:pt idx="11">
                  <c:v>2023.5</c:v>
                </c:pt>
                <c:pt idx="12">
                  <c:v>2023.7</c:v>
                </c:pt>
              </c:numCache>
            </c:numRef>
          </c:cat>
          <c:val>
            <c:numRef>
              <c:f>Sheet3!$C$2:$C$14</c:f>
              <c:numCache>
                <c:formatCode>General</c:formatCode>
                <c:ptCount val="13"/>
                <c:pt idx="0">
                  <c:v>287</c:v>
                </c:pt>
                <c:pt idx="1">
                  <c:v>281</c:v>
                </c:pt>
                <c:pt idx="2">
                  <c:v>278</c:v>
                </c:pt>
                <c:pt idx="3">
                  <c:v>274</c:v>
                </c:pt>
                <c:pt idx="4">
                  <c:v>266</c:v>
                </c:pt>
                <c:pt idx="5">
                  <c:v>239</c:v>
                </c:pt>
                <c:pt idx="6">
                  <c:v>237</c:v>
                </c:pt>
                <c:pt idx="7">
                  <c:v>235</c:v>
                </c:pt>
                <c:pt idx="8">
                  <c:v>229</c:v>
                </c:pt>
                <c:pt idx="9">
                  <c:v>222</c:v>
                </c:pt>
                <c:pt idx="10">
                  <c:v>212</c:v>
                </c:pt>
                <c:pt idx="11">
                  <c:v>185</c:v>
                </c:pt>
                <c:pt idx="12">
                  <c:v>183</c:v>
                </c:pt>
              </c:numCache>
            </c:numRef>
          </c:val>
          <c:smooth val="0"/>
        </c:ser>
        <c:dLbls>
          <c:showLegendKey val="0"/>
          <c:showVal val="1"/>
          <c:showCatName val="0"/>
          <c:showSerName val="0"/>
          <c:showPercent val="0"/>
          <c:showBubbleSize val="0"/>
        </c:dLbls>
        <c:marker val="1"/>
        <c:smooth val="0"/>
        <c:axId val="205580160"/>
        <c:axId val="205581696"/>
      </c:lineChart>
      <c:lineChart>
        <c:grouping val="standard"/>
        <c:varyColors val="0"/>
        <c:ser>
          <c:idx val="1"/>
          <c:order val="0"/>
          <c:tx>
            <c:strRef>
              <c:f>国内排名</c:f>
              <c:strCache>
                <c:ptCount val="1"/>
                <c:pt idx="0">
                  <c:v>国内排名</c:v>
                </c:pt>
              </c:strCache>
            </c:strRef>
          </c:tx>
          <c:spPr>
            <a:ln w="34925" cap="rnd" cmpd="sng" algn="ctr">
              <a:solidFill>
                <a:schemeClr val="accent2"/>
              </a:solidFill>
              <a:prstDash val="solid"/>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olidFill>
                <a:prstDash val="solid"/>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Sheet3!$A$2:$A$14</c:f>
              <c:numCache>
                <c:formatCode>General</c:formatCode>
                <c:ptCount val="13"/>
                <c:pt idx="0">
                  <c:v>2021.7</c:v>
                </c:pt>
                <c:pt idx="1">
                  <c:v>2021.9</c:v>
                </c:pt>
                <c:pt idx="2">
                  <c:v>2021.11</c:v>
                </c:pt>
                <c:pt idx="3">
                  <c:v>2022.1</c:v>
                </c:pt>
                <c:pt idx="4">
                  <c:v>2022.3</c:v>
                </c:pt>
                <c:pt idx="5">
                  <c:v>2022.5</c:v>
                </c:pt>
                <c:pt idx="6">
                  <c:v>2022.7</c:v>
                </c:pt>
                <c:pt idx="7">
                  <c:v>2022.9</c:v>
                </c:pt>
                <c:pt idx="8">
                  <c:v>2022.11</c:v>
                </c:pt>
                <c:pt idx="9">
                  <c:v>2023.1</c:v>
                </c:pt>
                <c:pt idx="10">
                  <c:v>2023.3</c:v>
                </c:pt>
                <c:pt idx="11">
                  <c:v>2023.5</c:v>
                </c:pt>
                <c:pt idx="12">
                  <c:v>2023.7</c:v>
                </c:pt>
              </c:numCache>
            </c:numRef>
          </c:cat>
          <c:val>
            <c:numRef>
              <c:f>Sheet3!$B$2:$B$14</c:f>
              <c:numCache>
                <c:formatCode>General</c:formatCode>
                <c:ptCount val="13"/>
                <c:pt idx="0">
                  <c:v>50</c:v>
                </c:pt>
                <c:pt idx="1">
                  <c:v>49</c:v>
                </c:pt>
                <c:pt idx="2">
                  <c:v>49</c:v>
                </c:pt>
                <c:pt idx="3">
                  <c:v>49</c:v>
                </c:pt>
                <c:pt idx="4">
                  <c:v>48</c:v>
                </c:pt>
                <c:pt idx="5">
                  <c:v>48</c:v>
                </c:pt>
                <c:pt idx="6">
                  <c:v>48</c:v>
                </c:pt>
                <c:pt idx="7">
                  <c:v>48</c:v>
                </c:pt>
                <c:pt idx="8">
                  <c:v>48</c:v>
                </c:pt>
                <c:pt idx="9">
                  <c:v>46</c:v>
                </c:pt>
                <c:pt idx="10">
                  <c:v>45</c:v>
                </c:pt>
                <c:pt idx="11">
                  <c:v>43</c:v>
                </c:pt>
                <c:pt idx="12">
                  <c:v>43</c:v>
                </c:pt>
              </c:numCache>
            </c:numRef>
          </c:val>
          <c:smooth val="0"/>
        </c:ser>
        <c:dLbls>
          <c:showLegendKey val="0"/>
          <c:showVal val="1"/>
          <c:showCatName val="0"/>
          <c:showSerName val="0"/>
          <c:showPercent val="0"/>
          <c:showBubbleSize val="0"/>
        </c:dLbls>
        <c:marker val="1"/>
        <c:smooth val="0"/>
        <c:axId val="204278016"/>
        <c:axId val="204276480"/>
      </c:lineChart>
      <c:catAx>
        <c:axId val="205580160"/>
        <c:scaling>
          <c:orientation val="minMax"/>
        </c:scaling>
        <c:delete val="0"/>
        <c:axPos val="t"/>
        <c:numFmt formatCode="General" sourceLinked="1"/>
        <c:majorTickMark val="none"/>
        <c:minorTickMark val="none"/>
        <c:tickLblPos val="low"/>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581696"/>
        <c:crosses val="autoZero"/>
        <c:auto val="1"/>
        <c:lblAlgn val="ctr"/>
        <c:lblOffset val="100"/>
        <c:noMultiLvlLbl val="0"/>
      </c:catAx>
      <c:valAx>
        <c:axId val="205581696"/>
        <c:scaling>
          <c:orientation val="maxMin"/>
          <c:min val="15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5580160"/>
        <c:crosses val="autoZero"/>
        <c:crossBetween val="between"/>
      </c:valAx>
      <c:catAx>
        <c:axId val="204278016"/>
        <c:scaling>
          <c:orientation val="minMax"/>
        </c:scaling>
        <c:delete val="1"/>
        <c:axPos val="t"/>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4276480"/>
        <c:crossesAt val="45"/>
        <c:auto val="1"/>
        <c:lblAlgn val="ctr"/>
        <c:lblOffset val="100"/>
        <c:noMultiLvlLbl val="0"/>
      </c:catAx>
      <c:valAx>
        <c:axId val="204276480"/>
        <c:scaling>
          <c:orientation val="maxMin"/>
          <c:min val="41"/>
        </c:scaling>
        <c:delete val="0"/>
        <c:axPos val="r"/>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278016"/>
        <c:crosses val="max"/>
        <c:crossBetween val="between"/>
      </c:valAx>
      <c:spPr>
        <a:noFill/>
        <a:ln>
          <a:solidFill>
            <a:schemeClr val="accent1">
              <a:alpha val="93000"/>
            </a:schemeClr>
          </a:solid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1"/>
          <c:tx>
            <c:strRef>
              <c:f>Sheet4!$C$1</c:f>
              <c:strCache>
                <c:ptCount val="1"/>
                <c:pt idx="0">
                  <c:v>被引频次</c:v>
                </c:pt>
              </c:strCache>
            </c:strRef>
          </c:tx>
          <c:spPr>
            <a:ln w="34925" cap="rnd" cmpd="sng" algn="ctr">
              <a:solidFill>
                <a:schemeClr val="accent2"/>
              </a:solidFill>
              <a:prstDash val="solid"/>
              <a:round/>
            </a:ln>
            <a:effectLst>
              <a:outerShdw blurRad="40000" dist="23000" dir="5400000" rotWithShape="0">
                <a:srgbClr val="000000">
                  <a:alpha val="35000"/>
                </a:srgbClr>
              </a:outerShdw>
            </a:effectLst>
          </c:spPr>
          <c:marker>
            <c:symbol val="circle"/>
            <c:size val="6"/>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olidFill>
                <a:prstDash val="solid"/>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6"/>
              <c:layout>
                <c:manualLayout>
                  <c:x val="0"/>
                  <c:y val="0.11355850991995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Sheet4!$A$2:$A$12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Sheet4!$C$2:$C$12</c:f>
              <c:numCache>
                <c:formatCode>General</c:formatCode>
                <c:ptCount val="11"/>
                <c:pt idx="0">
                  <c:v>7308</c:v>
                </c:pt>
                <c:pt idx="1">
                  <c:v>6976</c:v>
                </c:pt>
                <c:pt idx="2">
                  <c:v>6730</c:v>
                </c:pt>
                <c:pt idx="3">
                  <c:v>6449</c:v>
                </c:pt>
                <c:pt idx="4">
                  <c:v>7820</c:v>
                </c:pt>
                <c:pt idx="5">
                  <c:v>15004</c:v>
                </c:pt>
                <c:pt idx="6">
                  <c:v>19622</c:v>
                </c:pt>
                <c:pt idx="7">
                  <c:v>13459</c:v>
                </c:pt>
                <c:pt idx="8">
                  <c:v>8986</c:v>
                </c:pt>
                <c:pt idx="9">
                  <c:v>2468</c:v>
                </c:pt>
                <c:pt idx="10">
                  <c:v>78</c:v>
                </c:pt>
              </c:numCache>
            </c:numRef>
          </c:val>
          <c:smooth val="0"/>
        </c:ser>
        <c:dLbls>
          <c:showLegendKey val="0"/>
          <c:showVal val="1"/>
          <c:showCatName val="0"/>
          <c:showSerName val="0"/>
          <c:showPercent val="0"/>
          <c:showBubbleSize val="0"/>
        </c:dLbls>
        <c:marker val="1"/>
        <c:smooth val="0"/>
        <c:axId val="204298112"/>
        <c:axId val="204296576"/>
      </c:lineChart>
      <c:lineChart>
        <c:grouping val="standard"/>
        <c:varyColors val="0"/>
        <c:ser>
          <c:idx val="0"/>
          <c:order val="0"/>
          <c:tx>
            <c:strRef>
              <c:f>Sheet4!$B$1</c:f>
              <c:strCache>
                <c:ptCount val="1"/>
                <c:pt idx="0">
                  <c:v>发文量</c:v>
                </c:pt>
              </c:strCache>
            </c:strRef>
          </c:tx>
          <c:spPr>
            <a:ln w="34925" cap="rnd" cmpd="sng" algn="ctr">
              <a:solidFill>
                <a:schemeClr val="accent1"/>
              </a:solidFill>
              <a:prstDash val="solid"/>
              <a:round/>
            </a:ln>
            <a:effectLst>
              <a:outerShdw blurRad="40000" dist="23000" dir="5400000" rotWithShape="0">
                <a:srgbClr val="000000">
                  <a:alpha val="35000"/>
                </a:srgbClr>
              </a:outerShdw>
            </a:effectLst>
          </c:spPr>
          <c:marker>
            <c:symbol val="circle"/>
            <c:size val="6"/>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olidFill>
                <a:prstDash val="solid"/>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dLbl>
              <c:idx val="6"/>
              <c:layout>
                <c:manualLayout>
                  <c:x val="0.032520325203252"/>
                  <c:y val="-0.066568781677212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Sheet4!$A$2:$A$12</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Sheet4!$B$2:$B$12</c:f>
              <c:numCache>
                <c:formatCode>General</c:formatCode>
                <c:ptCount val="11"/>
                <c:pt idx="0">
                  <c:v>256</c:v>
                </c:pt>
                <c:pt idx="1">
                  <c:v>252</c:v>
                </c:pt>
                <c:pt idx="2">
                  <c:v>258</c:v>
                </c:pt>
                <c:pt idx="3">
                  <c:v>258</c:v>
                </c:pt>
                <c:pt idx="4">
                  <c:v>338</c:v>
                </c:pt>
                <c:pt idx="5">
                  <c:v>545</c:v>
                </c:pt>
                <c:pt idx="6">
                  <c:v>852</c:v>
                </c:pt>
                <c:pt idx="7">
                  <c:v>790</c:v>
                </c:pt>
                <c:pt idx="8">
                  <c:v>863</c:v>
                </c:pt>
                <c:pt idx="9">
                  <c:v>814</c:v>
                </c:pt>
                <c:pt idx="10">
                  <c:v>365</c:v>
                </c:pt>
              </c:numCache>
            </c:numRef>
          </c:val>
          <c:smooth val="0"/>
        </c:ser>
        <c:dLbls>
          <c:showLegendKey val="0"/>
          <c:showVal val="1"/>
          <c:showCatName val="0"/>
          <c:showSerName val="0"/>
          <c:showPercent val="0"/>
          <c:showBubbleSize val="0"/>
        </c:dLbls>
        <c:marker val="1"/>
        <c:smooth val="0"/>
        <c:axId val="204309632"/>
        <c:axId val="204299648"/>
      </c:lineChart>
      <c:catAx>
        <c:axId val="20429811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296576"/>
        <c:crosses val="autoZero"/>
        <c:auto val="1"/>
        <c:lblAlgn val="ctr"/>
        <c:lblOffset val="100"/>
        <c:noMultiLvlLbl val="0"/>
      </c:catAx>
      <c:valAx>
        <c:axId val="204296576"/>
        <c:scaling>
          <c:orientation val="minMax"/>
        </c:scaling>
        <c:delete val="0"/>
        <c:axPos val="r"/>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298112"/>
        <c:crosses val="max"/>
        <c:crossBetween val="between"/>
      </c:valAx>
      <c:catAx>
        <c:axId val="204309632"/>
        <c:scaling>
          <c:orientation val="minMax"/>
        </c:scaling>
        <c:delete val="1"/>
        <c:axPos val="b"/>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04299648"/>
        <c:crosses val="autoZero"/>
        <c:auto val="1"/>
        <c:lblAlgn val="ctr"/>
        <c:lblOffset val="100"/>
        <c:noMultiLvlLbl val="0"/>
      </c:catAx>
      <c:valAx>
        <c:axId val="204299648"/>
        <c:scaling>
          <c:orientation val="minMax"/>
        </c:scaling>
        <c:delete val="0"/>
        <c:axPos val="l"/>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3096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76327026285893"/>
          <c:y val="0.0647715189447474"/>
          <c:w val="0.937952714683741"/>
          <c:h val="0.774512465821621"/>
        </c:manualLayout>
      </c:layout>
      <c:lineChart>
        <c:grouping val="standard"/>
        <c:varyColors val="0"/>
        <c:ser>
          <c:idx val="0"/>
          <c:order val="0"/>
          <c:tx>
            <c:strRef>
              <c:f>Sheet5!$B$29</c:f>
              <c:strCache>
                <c:ptCount val="1"/>
                <c:pt idx="0">
                  <c:v>青岛科技大学</c:v>
                </c:pt>
              </c:strCache>
            </c:strRef>
          </c:tx>
          <c:spPr>
            <a:ln w="28575" cap="rnd" cmpd="sng" algn="ctr">
              <a:solidFill>
                <a:schemeClr val="accent1"/>
              </a:solidFill>
              <a:prstDash val="solid"/>
              <a:round/>
            </a:ln>
            <a:effectLst/>
          </c:spPr>
          <c:marker>
            <c:symbol val="none"/>
          </c:marker>
          <c:dLbls>
            <c:dLbl>
              <c:idx val="0"/>
              <c:layout>
                <c:manualLayout>
                  <c:x val="-0.00153080750095676"/>
                  <c:y val="-0.03418803418803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21756021756021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1289599618797e-17"/>
                  <c:y val="-0.031080031080031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53080750095676"/>
                  <c:y val="-0.0279720279720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53080750095676"/>
                  <c:y val="-0.0279720279720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25791992376e-16"/>
                  <c:y val="-0.024864024864024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Sheet5!$B$30:$B$35</c:f>
              <c:numCache>
                <c:formatCode>General</c:formatCode>
                <c:ptCount val="6"/>
                <c:pt idx="0">
                  <c:v>235</c:v>
                </c:pt>
                <c:pt idx="1">
                  <c:v>229</c:v>
                </c:pt>
                <c:pt idx="2">
                  <c:v>222</c:v>
                </c:pt>
                <c:pt idx="3">
                  <c:v>212</c:v>
                </c:pt>
                <c:pt idx="4">
                  <c:v>185</c:v>
                </c:pt>
                <c:pt idx="5">
                  <c:v>183</c:v>
                </c:pt>
              </c:numCache>
            </c:numRef>
          </c:val>
          <c:smooth val="0"/>
        </c:ser>
        <c:ser>
          <c:idx val="1"/>
          <c:order val="1"/>
          <c:tx>
            <c:strRef>
              <c:f>Sheet5!$C$29</c:f>
              <c:strCache>
                <c:ptCount val="1"/>
                <c:pt idx="0">
                  <c:v>济南大学</c:v>
                </c:pt>
              </c:strCache>
            </c:strRef>
          </c:tx>
          <c:spPr>
            <a:ln w="28575" cap="rnd" cmpd="sng" algn="ctr">
              <a:solidFill>
                <a:schemeClr val="accent2"/>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Sheet5!$C$30:$C$35</c:f>
              <c:numCache>
                <c:formatCode>General</c:formatCode>
                <c:ptCount val="6"/>
                <c:pt idx="0">
                  <c:v>246</c:v>
                </c:pt>
                <c:pt idx="1">
                  <c:v>244</c:v>
                </c:pt>
                <c:pt idx="2">
                  <c:v>243</c:v>
                </c:pt>
                <c:pt idx="3">
                  <c:v>241</c:v>
                </c:pt>
                <c:pt idx="4">
                  <c:v>220</c:v>
                </c:pt>
                <c:pt idx="5">
                  <c:v>221</c:v>
                </c:pt>
              </c:numCache>
            </c:numRef>
          </c:val>
          <c:smooth val="0"/>
        </c:ser>
        <c:ser>
          <c:idx val="2"/>
          <c:order val="2"/>
          <c:tx>
            <c:strRef>
              <c:f>Sheet5!$D$29</c:f>
              <c:strCache>
                <c:ptCount val="1"/>
                <c:pt idx="0">
                  <c:v>青岛大学</c:v>
                </c:pt>
              </c:strCache>
            </c:strRef>
          </c:tx>
          <c:spPr>
            <a:ln w="28575" cap="rnd" cmpd="sng" algn="ctr">
              <a:solidFill>
                <a:schemeClr val="accent3"/>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Sheet5!$D$30:$D$35</c:f>
              <c:numCache>
                <c:formatCode>General</c:formatCode>
                <c:ptCount val="6"/>
                <c:pt idx="0">
                  <c:v>371</c:v>
                </c:pt>
                <c:pt idx="1">
                  <c:v>361</c:v>
                </c:pt>
                <c:pt idx="2">
                  <c:v>350</c:v>
                </c:pt>
                <c:pt idx="3">
                  <c:v>337</c:v>
                </c:pt>
                <c:pt idx="4">
                  <c:v>300</c:v>
                </c:pt>
                <c:pt idx="5">
                  <c:v>300</c:v>
                </c:pt>
              </c:numCache>
            </c:numRef>
          </c:val>
          <c:smooth val="0"/>
        </c:ser>
        <c:ser>
          <c:idx val="3"/>
          <c:order val="3"/>
          <c:tx>
            <c:strRef>
              <c:f>Sheet5!$E$29</c:f>
              <c:strCache>
                <c:ptCount val="1"/>
                <c:pt idx="0">
                  <c:v>山东师范大学</c:v>
                </c:pt>
              </c:strCache>
            </c:strRef>
          </c:tx>
          <c:spPr>
            <a:ln w="28575" cap="rnd" cmpd="sng" algn="ctr">
              <a:solidFill>
                <a:schemeClr val="accent4"/>
              </a:solidFill>
              <a:prstDash val="solid"/>
              <a:round/>
            </a:ln>
            <a:effectLst/>
          </c:spPr>
          <c:marker>
            <c:symbol val="none"/>
          </c:marker>
          <c:dLbls>
            <c:dLbl>
              <c:idx val="5"/>
              <c:layout>
                <c:manualLayout>
                  <c:x val="0.00306161500191351"/>
                  <c:y val="-0.0031080031080031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Sheet5!$E$30:$E$35</c:f>
              <c:numCache>
                <c:formatCode>General</c:formatCode>
                <c:ptCount val="6"/>
                <c:pt idx="0">
                  <c:v>430</c:v>
                </c:pt>
                <c:pt idx="1">
                  <c:v>429</c:v>
                </c:pt>
                <c:pt idx="2">
                  <c:v>419</c:v>
                </c:pt>
                <c:pt idx="3">
                  <c:v>418</c:v>
                </c:pt>
                <c:pt idx="4">
                  <c:v>379</c:v>
                </c:pt>
                <c:pt idx="5">
                  <c:v>375</c:v>
                </c:pt>
              </c:numCache>
            </c:numRef>
          </c:val>
          <c:smooth val="0"/>
        </c:ser>
        <c:ser>
          <c:idx val="4"/>
          <c:order val="4"/>
          <c:tx>
            <c:strRef>
              <c:f>Sheet5!$F$29</c:f>
              <c:strCache>
                <c:ptCount val="1"/>
                <c:pt idx="0">
                  <c:v>山东科技大学</c:v>
                </c:pt>
              </c:strCache>
            </c:strRef>
          </c:tx>
          <c:spPr>
            <a:ln w="28575" cap="rnd" cmpd="sng" algn="ctr">
              <a:solidFill>
                <a:schemeClr val="accent5"/>
              </a:solidFill>
              <a:prstDash val="solid"/>
              <a:round/>
            </a:ln>
            <a:effectLst/>
          </c:spPr>
          <c:marker>
            <c:symbol val="none"/>
          </c:marker>
          <c:dLbls>
            <c:dLbl>
              <c:idx val="5"/>
              <c:layout>
                <c:manualLayout>
                  <c:x val="-1.1225791992376e-16"/>
                  <c:y val="0.024864024864024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Sheet5!$F$30:$F$35</c:f>
              <c:numCache>
                <c:formatCode>General</c:formatCode>
                <c:ptCount val="6"/>
                <c:pt idx="0">
                  <c:v>448</c:v>
                </c:pt>
                <c:pt idx="1">
                  <c:v>443</c:v>
                </c:pt>
                <c:pt idx="2">
                  <c:v>435</c:v>
                </c:pt>
                <c:pt idx="3">
                  <c:v>431</c:v>
                </c:pt>
                <c:pt idx="4">
                  <c:v>370</c:v>
                </c:pt>
                <c:pt idx="5">
                  <c:v>366</c:v>
                </c:pt>
              </c:numCache>
            </c:numRef>
          </c:val>
          <c:smooth val="0"/>
        </c:ser>
        <c:ser>
          <c:idx val="5"/>
          <c:order val="5"/>
          <c:tx>
            <c:strRef>
              <c:f>Sheet5!$G$29</c:f>
              <c:strCache>
                <c:ptCount val="1"/>
                <c:pt idx="0">
                  <c:v>曲阜师范大学</c:v>
                </c:pt>
              </c:strCache>
            </c:strRef>
          </c:tx>
          <c:spPr>
            <a:ln w="28575" cap="rnd" cmpd="sng" algn="ctr">
              <a:solidFill>
                <a:schemeClr val="accent6"/>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Sheet5!$G$30:$G$35</c:f>
              <c:numCache>
                <c:formatCode>General</c:formatCode>
                <c:ptCount val="6"/>
                <c:pt idx="0">
                  <c:v>587</c:v>
                </c:pt>
                <c:pt idx="1">
                  <c:v>584</c:v>
                </c:pt>
                <c:pt idx="2">
                  <c:v>585</c:v>
                </c:pt>
                <c:pt idx="3">
                  <c:v>581</c:v>
                </c:pt>
                <c:pt idx="4">
                  <c:v>530</c:v>
                </c:pt>
                <c:pt idx="5">
                  <c:v>528</c:v>
                </c:pt>
              </c:numCache>
            </c:numRef>
          </c:val>
          <c:smooth val="0"/>
        </c:ser>
        <c:ser>
          <c:idx val="6"/>
          <c:order val="6"/>
          <c:tx>
            <c:strRef>
              <c:f>Sheet5!$H$29</c:f>
              <c:strCache>
                <c:ptCount val="1"/>
                <c:pt idx="0">
                  <c:v>齐鲁工业大学</c:v>
                </c:pt>
              </c:strCache>
            </c:strRef>
          </c:tx>
          <c:spPr>
            <a:ln w="28575" cap="rnd" cmpd="sng" algn="ctr">
              <a:solidFill>
                <a:schemeClr val="accent1">
                  <a:lumMod val="60000"/>
                </a:schemeClr>
              </a:solidFill>
              <a:prstDash val="solid"/>
              <a:round/>
            </a:ln>
            <a:effectLst/>
          </c:spPr>
          <c:marker>
            <c:symbol val="none"/>
          </c:marker>
          <c:dLbls>
            <c:dLbl>
              <c:idx val="5"/>
              <c:layout>
                <c:manualLayout>
                  <c:x val="-1.07109562688396e-16"/>
                  <c:y val="0.023263889030231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Sheet5!$H$30:$H$35</c:f>
              <c:numCache>
                <c:formatCode>General</c:formatCode>
                <c:ptCount val="6"/>
                <c:pt idx="0">
                  <c:v>634</c:v>
                </c:pt>
                <c:pt idx="1">
                  <c:v>629</c:v>
                </c:pt>
                <c:pt idx="2">
                  <c:v>616</c:v>
                </c:pt>
                <c:pt idx="3">
                  <c:v>597</c:v>
                </c:pt>
                <c:pt idx="4">
                  <c:v>539</c:v>
                </c:pt>
                <c:pt idx="5">
                  <c:v>527</c:v>
                </c:pt>
              </c:numCache>
            </c:numRef>
          </c:val>
          <c:smooth val="0"/>
        </c:ser>
        <c:ser>
          <c:idx val="7"/>
          <c:order val="7"/>
          <c:tx>
            <c:strRef>
              <c:f>Sheet5!$I$29</c:f>
              <c:strCache>
                <c:ptCount val="1"/>
                <c:pt idx="0">
                  <c:v>聊城大学</c:v>
                </c:pt>
              </c:strCache>
            </c:strRef>
          </c:tx>
          <c:spPr>
            <a:ln w="28575" cap="rnd" cmpd="sng" algn="ctr">
              <a:solidFill>
                <a:schemeClr val="accent2">
                  <a:lumMod val="60000"/>
                </a:schemeClr>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Sheet5!$I$30:$I$35</c:f>
              <c:numCache>
                <c:formatCode>General</c:formatCode>
                <c:ptCount val="6"/>
                <c:pt idx="0">
                  <c:v>730</c:v>
                </c:pt>
                <c:pt idx="1">
                  <c:v>717</c:v>
                </c:pt>
                <c:pt idx="2">
                  <c:v>709</c:v>
                </c:pt>
                <c:pt idx="3">
                  <c:v>696</c:v>
                </c:pt>
                <c:pt idx="4">
                  <c:v>670</c:v>
                </c:pt>
                <c:pt idx="5">
                  <c:v>661</c:v>
                </c:pt>
              </c:numCache>
            </c:numRef>
          </c:val>
          <c:smooth val="0"/>
        </c:ser>
        <c:ser>
          <c:idx val="8"/>
          <c:order val="8"/>
          <c:tx>
            <c:strRef>
              <c:f>Sheet5!$J$29</c:f>
              <c:strCache>
                <c:ptCount val="1"/>
                <c:pt idx="0">
                  <c:v>烟台大学</c:v>
                </c:pt>
              </c:strCache>
            </c:strRef>
          </c:tx>
          <c:spPr>
            <a:ln w="28575" cap="rnd" cmpd="sng" algn="ctr">
              <a:solidFill>
                <a:schemeClr val="accent3">
                  <a:lumMod val="60000"/>
                </a:schemeClr>
              </a:solidFill>
              <a:prstDash val="solid"/>
              <a:round/>
            </a:ln>
            <a:effectLst/>
          </c:spPr>
          <c:marker>
            <c:symbol val="none"/>
          </c:marker>
          <c:dLbls>
            <c:dLbl>
              <c:idx val="4"/>
              <c:layout>
                <c:manualLayout>
                  <c:x val="0.00459242250287027"/>
                  <c:y val="-0.024864024864024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Sheet5!$J$30:$J$35</c:f>
              <c:numCache>
                <c:formatCode>General</c:formatCode>
                <c:ptCount val="6"/>
                <c:pt idx="0">
                  <c:v>936</c:v>
                </c:pt>
                <c:pt idx="1">
                  <c:v>930</c:v>
                </c:pt>
                <c:pt idx="2">
                  <c:v>924</c:v>
                </c:pt>
                <c:pt idx="3">
                  <c:v>913</c:v>
                </c:pt>
                <c:pt idx="4">
                  <c:v>880</c:v>
                </c:pt>
                <c:pt idx="5">
                  <c:v>877</c:v>
                </c:pt>
              </c:numCache>
            </c:numRef>
          </c:val>
          <c:smooth val="0"/>
        </c:ser>
        <c:ser>
          <c:idx val="9"/>
          <c:order val="9"/>
          <c:tx>
            <c:strRef>
              <c:f>Sheet5!$K$29</c:f>
              <c:strCache>
                <c:ptCount val="1"/>
                <c:pt idx="0">
                  <c:v>山东理工大学</c:v>
                </c:pt>
              </c:strCache>
            </c:strRef>
          </c:tx>
          <c:spPr>
            <a:ln w="28575" cap="rnd" cmpd="sng" algn="ctr">
              <a:solidFill>
                <a:schemeClr val="accent4">
                  <a:lumMod val="60000"/>
                </a:schemeClr>
              </a:solidFill>
              <a:prstDash val="solid"/>
              <a:round/>
            </a:ln>
            <a:effectLst/>
          </c:spPr>
          <c:marker>
            <c:symbol val="none"/>
          </c:marker>
          <c:dLbls>
            <c:dLbl>
              <c:idx val="4"/>
              <c:layout>
                <c:manualLayout>
                  <c:x val="-0.0462456946039037"/>
                  <c:y val="-0.018648018648018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93073096058172"/>
                  <c:y val="-0.024864024864024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Sheet5!$K$30:$K$35</c:f>
              <c:numCache>
                <c:formatCode>General</c:formatCode>
                <c:ptCount val="6"/>
                <c:pt idx="0">
                  <c:v>945</c:v>
                </c:pt>
                <c:pt idx="1">
                  <c:v>935</c:v>
                </c:pt>
                <c:pt idx="2">
                  <c:v>934</c:v>
                </c:pt>
                <c:pt idx="3">
                  <c:v>925</c:v>
                </c:pt>
                <c:pt idx="4">
                  <c:v>878</c:v>
                </c:pt>
                <c:pt idx="5">
                  <c:v>876</c:v>
                </c:pt>
              </c:numCache>
            </c:numRef>
          </c:val>
          <c:smooth val="0"/>
        </c:ser>
        <c:ser>
          <c:idx val="10"/>
          <c:order val="10"/>
          <c:tx>
            <c:strRef>
              <c:f>Sheet5!$L$29</c:f>
              <c:strCache>
                <c:ptCount val="1"/>
                <c:pt idx="0">
                  <c:v>青岛农业大学</c:v>
                </c:pt>
              </c:strCache>
            </c:strRef>
          </c:tx>
          <c:spPr>
            <a:ln w="28575" cap="rnd" cmpd="sng" algn="ctr">
              <a:solidFill>
                <a:schemeClr val="accent5">
                  <a:lumMod val="60000"/>
                </a:schemeClr>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Sheet5!$L$30:$L$35</c:f>
              <c:numCache>
                <c:formatCode>General</c:formatCode>
                <c:ptCount val="6"/>
                <c:pt idx="0">
                  <c:v>983</c:v>
                </c:pt>
                <c:pt idx="1">
                  <c:v>972</c:v>
                </c:pt>
                <c:pt idx="2">
                  <c:v>974</c:v>
                </c:pt>
                <c:pt idx="3">
                  <c:v>960</c:v>
                </c:pt>
                <c:pt idx="4">
                  <c:v>905</c:v>
                </c:pt>
                <c:pt idx="5">
                  <c:v>898</c:v>
                </c:pt>
              </c:numCache>
            </c:numRef>
          </c:val>
          <c:smooth val="0"/>
        </c:ser>
        <c:ser>
          <c:idx val="11"/>
          <c:order val="11"/>
          <c:tx>
            <c:strRef>
              <c:f>Sheet5!$M$29</c:f>
              <c:strCache>
                <c:ptCount val="1"/>
                <c:pt idx="0">
                  <c:v>山东农业大学</c:v>
                </c:pt>
              </c:strCache>
            </c:strRef>
          </c:tx>
          <c:spPr>
            <a:ln w="28575" cap="rnd" cmpd="sng" algn="ctr">
              <a:solidFill>
                <a:schemeClr val="accent6">
                  <a:lumMod val="60000"/>
                </a:schemeClr>
              </a:solidFill>
              <a:prstDash val="solid"/>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Sheet5!$M$30:$M$35</c:f>
              <c:numCache>
                <c:formatCode>General</c:formatCode>
                <c:ptCount val="6"/>
                <c:pt idx="0">
                  <c:v>1120</c:v>
                </c:pt>
                <c:pt idx="1">
                  <c:v>1112</c:v>
                </c:pt>
                <c:pt idx="2">
                  <c:v>1103</c:v>
                </c:pt>
                <c:pt idx="3">
                  <c:v>1090</c:v>
                </c:pt>
                <c:pt idx="4">
                  <c:v>1079</c:v>
                </c:pt>
                <c:pt idx="5">
                  <c:v>1077</c:v>
                </c:pt>
              </c:numCache>
            </c:numRef>
          </c:val>
          <c:smooth val="0"/>
        </c:ser>
        <c:ser>
          <c:idx val="12"/>
          <c:order val="12"/>
          <c:tx>
            <c:strRef>
              <c:f>Sheet5!$N$29</c:f>
              <c:strCache>
                <c:ptCount val="1"/>
                <c:pt idx="0">
                  <c:v>山东第一医科大学</c:v>
                </c:pt>
              </c:strCache>
            </c:strRef>
          </c:tx>
          <c:spPr>
            <a:ln w="28575" cap="rnd" cmpd="sng" algn="ctr">
              <a:solidFill>
                <a:schemeClr val="accent1">
                  <a:lumMod val="80000"/>
                  <a:lumOff val="20000"/>
                </a:schemeClr>
              </a:solidFill>
              <a:prstDash val="solid"/>
              <a:round/>
            </a:ln>
            <a:effectLst/>
          </c:spPr>
          <c:marker>
            <c:symbol val="none"/>
          </c:marker>
          <c:dLbls>
            <c:dLbl>
              <c:idx val="1"/>
              <c:layout>
                <c:manualLayout>
                  <c:x val="0"/>
                  <c:y val="-0.018648018648018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1289599618797e-17"/>
                  <c:y val="-0.021756021756021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1756021756021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1554001554001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1.1225791992376e-16"/>
                  <c:y val="-0.024864024864024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Sheet5!$N$30:$N$35</c:f>
              <c:numCache>
                <c:formatCode>General</c:formatCode>
                <c:ptCount val="6"/>
                <c:pt idx="0">
                  <c:v>1348</c:v>
                </c:pt>
                <c:pt idx="1">
                  <c:v>1340</c:v>
                </c:pt>
                <c:pt idx="2">
                  <c:v>1341</c:v>
                </c:pt>
                <c:pt idx="3">
                  <c:v>1327</c:v>
                </c:pt>
                <c:pt idx="4">
                  <c:v>1366</c:v>
                </c:pt>
                <c:pt idx="5">
                  <c:v>1361</c:v>
                </c:pt>
              </c:numCache>
            </c:numRef>
          </c:val>
          <c:smooth val="0"/>
        </c:ser>
        <c:ser>
          <c:idx val="13"/>
          <c:order val="13"/>
          <c:tx>
            <c:strRef>
              <c:f>Sheet5!$O$29</c:f>
              <c:strCache>
                <c:ptCount val="1"/>
                <c:pt idx="0">
                  <c:v>临沂大学</c:v>
                </c:pt>
              </c:strCache>
            </c:strRef>
          </c:tx>
          <c:spPr>
            <a:ln w="28575" cap="rnd" cmpd="sng" algn="ctr">
              <a:solidFill>
                <a:schemeClr val="accent2">
                  <a:lumMod val="80000"/>
                  <a:lumOff val="20000"/>
                </a:schemeClr>
              </a:solidFill>
              <a:prstDash val="solid"/>
              <a:round/>
            </a:ln>
            <a:effectLst/>
          </c:spPr>
          <c:marker>
            <c:symbol val="none"/>
          </c:marker>
          <c:dLbls>
            <c:dLbl>
              <c:idx val="1"/>
              <c:layout>
                <c:manualLayout>
                  <c:x val="0"/>
                  <c:y val="0.0279720279720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61289599618797e-17"/>
                  <c:y val="0.027972027972027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1756021756021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
                  <c:y val="0.03418803418803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Sheet5!$A$30:$A$35</c:f>
              <c:numCache>
                <c:formatCode>General</c:formatCode>
                <c:ptCount val="6"/>
                <c:pt idx="0">
                  <c:v>2022.9</c:v>
                </c:pt>
                <c:pt idx="1">
                  <c:v>2022.11</c:v>
                </c:pt>
                <c:pt idx="2">
                  <c:v>2023.1</c:v>
                </c:pt>
                <c:pt idx="3">
                  <c:v>2023.3</c:v>
                </c:pt>
                <c:pt idx="4">
                  <c:v>2023.5</c:v>
                </c:pt>
                <c:pt idx="5">
                  <c:v>2023.7</c:v>
                </c:pt>
              </c:numCache>
            </c:numRef>
          </c:cat>
          <c:val>
            <c:numRef>
              <c:f>Sheet5!$O$30:$O$35</c:f>
              <c:numCache>
                <c:formatCode>General</c:formatCode>
                <c:ptCount val="6"/>
                <c:pt idx="0">
                  <c:v>1367</c:v>
                </c:pt>
                <c:pt idx="1">
                  <c:v>1358</c:v>
                </c:pt>
                <c:pt idx="2">
                  <c:v>1357</c:v>
                </c:pt>
                <c:pt idx="3">
                  <c:v>1343</c:v>
                </c:pt>
                <c:pt idx="4">
                  <c:v>1267</c:v>
                </c:pt>
                <c:pt idx="5">
                  <c:v>1262</c:v>
                </c:pt>
              </c:numCache>
            </c:numRef>
          </c:val>
          <c:smooth val="0"/>
        </c:ser>
        <c:dLbls>
          <c:showLegendKey val="0"/>
          <c:showVal val="1"/>
          <c:showCatName val="0"/>
          <c:showSerName val="0"/>
          <c:showPercent val="0"/>
          <c:showBubbleSize val="0"/>
        </c:dLbls>
        <c:marker val="0"/>
        <c:smooth val="0"/>
        <c:axId val="204161408"/>
        <c:axId val="204162944"/>
      </c:lineChart>
      <c:catAx>
        <c:axId val="204161408"/>
        <c:scaling>
          <c:orientation val="minMax"/>
        </c:scaling>
        <c:delete val="0"/>
        <c:axPos val="t"/>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162944"/>
        <c:crosses val="autoZero"/>
        <c:auto val="1"/>
        <c:lblAlgn val="ctr"/>
        <c:lblOffset val="100"/>
        <c:noMultiLvlLbl val="0"/>
      </c:catAx>
      <c:valAx>
        <c:axId val="204162944"/>
        <c:scaling>
          <c:orientation val="maxMin"/>
          <c:max val="1600"/>
          <c:min val="10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041614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400155337725641"/>
          <c:y val="0.102721088435374"/>
          <c:w val="0.9357833431092"/>
          <c:h val="0.744977521919134"/>
        </c:manualLayout>
      </c:layout>
      <c:lineChart>
        <c:grouping val="standard"/>
        <c:varyColors val="0"/>
        <c:ser>
          <c:idx val="0"/>
          <c:order val="0"/>
          <c:tx>
            <c:strRef>
              <c:f>Sheet5!$B$1</c:f>
              <c:strCache>
                <c:ptCount val="1"/>
                <c:pt idx="0">
                  <c:v>青岛科技大学</c:v>
                </c:pt>
              </c:strCache>
            </c:strRef>
          </c:tx>
          <c:spPr>
            <a:ln w="28575" cap="rnd" cmpd="sng" algn="ctr">
              <a:solidFill>
                <a:schemeClr val="accent1"/>
              </a:solid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Lbl>
              <c:idx val="0"/>
              <c:layout>
                <c:manualLayout>
                  <c:x val="-0.0333182844243792"/>
                  <c:y val="-0.01439885135714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408427389014297"/>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08427389014296"/>
                  <c:y val="-0.01151908108571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08427389014297"/>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08427389014297"/>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23476297968399"/>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Sheet5!$B$2:$B$7</c:f>
              <c:numCache>
                <c:formatCode>General</c:formatCode>
                <c:ptCount val="6"/>
                <c:pt idx="0">
                  <c:v>48</c:v>
                </c:pt>
                <c:pt idx="1">
                  <c:v>48</c:v>
                </c:pt>
                <c:pt idx="2">
                  <c:v>46</c:v>
                </c:pt>
                <c:pt idx="3">
                  <c:v>45</c:v>
                </c:pt>
                <c:pt idx="4">
                  <c:v>43</c:v>
                </c:pt>
                <c:pt idx="5">
                  <c:v>43</c:v>
                </c:pt>
              </c:numCache>
            </c:numRef>
          </c:val>
          <c:smooth val="0"/>
        </c:ser>
        <c:ser>
          <c:idx val="1"/>
          <c:order val="1"/>
          <c:tx>
            <c:strRef>
              <c:f>Sheet5!$C$1</c:f>
              <c:strCache>
                <c:ptCount val="1"/>
                <c:pt idx="0">
                  <c:v>济南大学</c:v>
                </c:pt>
              </c:strCache>
            </c:strRef>
          </c:tx>
          <c:spPr>
            <a:ln w="28575" cap="rnd" cmpd="sng" algn="ctr">
              <a:solidFill>
                <a:schemeClr val="accent2"/>
              </a:solidFill>
              <a:prstDash val="solid"/>
              <a:round/>
            </a:ln>
            <a:effectLst/>
          </c:spPr>
          <c:marker>
            <c:symbol val="circle"/>
            <c:size val="5"/>
            <c:spPr>
              <a:solidFill>
                <a:schemeClr val="accent2"/>
              </a:solidFill>
              <a:ln w="9525" cap="flat" cmpd="sng" algn="ctr">
                <a:solidFill>
                  <a:schemeClr val="accent2"/>
                </a:solidFill>
                <a:prstDash val="solid"/>
                <a:round/>
              </a:ln>
              <a:effectLst/>
            </c:spPr>
          </c:marker>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Sheet5!$C$2:$C$7</c:f>
              <c:numCache>
                <c:formatCode>General</c:formatCode>
                <c:ptCount val="6"/>
                <c:pt idx="0">
                  <c:v>49</c:v>
                </c:pt>
                <c:pt idx="1">
                  <c:v>49</c:v>
                </c:pt>
                <c:pt idx="2">
                  <c:v>49</c:v>
                </c:pt>
                <c:pt idx="3">
                  <c:v>49</c:v>
                </c:pt>
                <c:pt idx="4">
                  <c:v>50</c:v>
                </c:pt>
                <c:pt idx="5">
                  <c:v>50</c:v>
                </c:pt>
              </c:numCache>
            </c:numRef>
          </c:val>
          <c:smooth val="0"/>
        </c:ser>
        <c:ser>
          <c:idx val="2"/>
          <c:order val="2"/>
          <c:tx>
            <c:strRef>
              <c:f>Sheet5!$D$1</c:f>
              <c:strCache>
                <c:ptCount val="1"/>
                <c:pt idx="0">
                  <c:v>青岛大学</c:v>
                </c:pt>
              </c:strCache>
            </c:strRef>
          </c:tx>
          <c:spPr>
            <a:ln w="28575" cap="rnd" cmpd="sng" algn="ctr">
              <a:solidFill>
                <a:schemeClr val="accent3"/>
              </a:solidFill>
              <a:prstDash val="solid"/>
              <a:round/>
            </a:ln>
            <a:effectLst/>
          </c:spPr>
          <c:marker>
            <c:symbol val="circle"/>
            <c:size val="5"/>
            <c:spPr>
              <a:solidFill>
                <a:schemeClr val="accent3"/>
              </a:solidFill>
              <a:ln w="9525" cap="flat" cmpd="sng" algn="ctr">
                <a:solidFill>
                  <a:schemeClr val="accent3"/>
                </a:solidFill>
                <a:prstDash val="solid"/>
                <a:round/>
              </a:ln>
              <a:effectLst/>
            </c:spPr>
          </c:marker>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Sheet5!$D$2:$D$7</c:f>
              <c:numCache>
                <c:formatCode>General</c:formatCode>
                <c:ptCount val="6"/>
                <c:pt idx="0">
                  <c:v>62</c:v>
                </c:pt>
                <c:pt idx="1">
                  <c:v>62</c:v>
                </c:pt>
                <c:pt idx="2">
                  <c:v>62</c:v>
                </c:pt>
                <c:pt idx="3">
                  <c:v>61</c:v>
                </c:pt>
                <c:pt idx="4">
                  <c:v>59</c:v>
                </c:pt>
                <c:pt idx="5">
                  <c:v>58</c:v>
                </c:pt>
              </c:numCache>
            </c:numRef>
          </c:val>
          <c:smooth val="0"/>
        </c:ser>
        <c:ser>
          <c:idx val="3"/>
          <c:order val="3"/>
          <c:tx>
            <c:strRef>
              <c:f>Sheet5!$E$1</c:f>
              <c:strCache>
                <c:ptCount val="1"/>
                <c:pt idx="0">
                  <c:v>山东师范大学</c:v>
                </c:pt>
              </c:strCache>
            </c:strRef>
          </c:tx>
          <c:spPr>
            <a:ln w="28575" cap="rnd" cmpd="sng" algn="ctr">
              <a:solidFill>
                <a:schemeClr val="accent4"/>
              </a:solidFill>
              <a:prstDash val="solid"/>
              <a:round/>
            </a:ln>
            <a:effectLst/>
          </c:spPr>
          <c:marker>
            <c:symbol val="circle"/>
            <c:size val="5"/>
            <c:spPr>
              <a:solidFill>
                <a:schemeClr val="accent4"/>
              </a:solidFill>
              <a:ln w="9525" cap="flat" cmpd="sng" algn="ctr">
                <a:solidFill>
                  <a:schemeClr val="accent4"/>
                </a:solidFill>
                <a:prstDash val="solid"/>
                <a:round/>
              </a:ln>
              <a:effectLst/>
            </c:spPr>
          </c:marker>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Sheet5!$E$2:$E$7</c:f>
              <c:numCache>
                <c:formatCode>General</c:formatCode>
                <c:ptCount val="6"/>
                <c:pt idx="0">
                  <c:v>67</c:v>
                </c:pt>
                <c:pt idx="1">
                  <c:v>67</c:v>
                </c:pt>
                <c:pt idx="2">
                  <c:v>67</c:v>
                </c:pt>
                <c:pt idx="3">
                  <c:v>68</c:v>
                </c:pt>
                <c:pt idx="4">
                  <c:v>69</c:v>
                </c:pt>
                <c:pt idx="5">
                  <c:v>69</c:v>
                </c:pt>
              </c:numCache>
            </c:numRef>
          </c:val>
          <c:smooth val="0"/>
        </c:ser>
        <c:ser>
          <c:idx val="4"/>
          <c:order val="4"/>
          <c:tx>
            <c:strRef>
              <c:f>Sheet5!$F$1</c:f>
              <c:strCache>
                <c:ptCount val="1"/>
                <c:pt idx="0">
                  <c:v>山东科技大学</c:v>
                </c:pt>
              </c:strCache>
            </c:strRef>
          </c:tx>
          <c:spPr>
            <a:ln w="28575" cap="rnd" cmpd="sng" algn="ctr">
              <a:solidFill>
                <a:schemeClr val="accent5"/>
              </a:solidFill>
              <a:prstDash val="solid"/>
              <a:round/>
            </a:ln>
            <a:effectLst/>
          </c:spPr>
          <c:marker>
            <c:symbol val="circle"/>
            <c:size val="5"/>
            <c:spPr>
              <a:solidFill>
                <a:schemeClr val="accent5"/>
              </a:solidFill>
              <a:ln w="9525" cap="flat" cmpd="sng" algn="ctr">
                <a:solidFill>
                  <a:schemeClr val="accent5"/>
                </a:solidFill>
                <a:prstDash val="solid"/>
                <a:round/>
              </a:ln>
              <a:effectLst/>
            </c:spPr>
          </c:marker>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Sheet5!$F$2:$F$7</c:f>
              <c:numCache>
                <c:formatCode>General</c:formatCode>
                <c:ptCount val="6"/>
                <c:pt idx="0">
                  <c:v>72</c:v>
                </c:pt>
                <c:pt idx="1">
                  <c:v>71</c:v>
                </c:pt>
                <c:pt idx="2">
                  <c:v>70</c:v>
                </c:pt>
                <c:pt idx="3">
                  <c:v>70</c:v>
                </c:pt>
                <c:pt idx="4">
                  <c:v>66</c:v>
                </c:pt>
                <c:pt idx="5">
                  <c:v>67</c:v>
                </c:pt>
              </c:numCache>
            </c:numRef>
          </c:val>
          <c:smooth val="0"/>
        </c:ser>
        <c:ser>
          <c:idx val="5"/>
          <c:order val="5"/>
          <c:tx>
            <c:strRef>
              <c:f>Sheet5!$G$1</c:f>
              <c:strCache>
                <c:ptCount val="1"/>
                <c:pt idx="0">
                  <c:v>曲阜师范大学</c:v>
                </c:pt>
              </c:strCache>
            </c:strRef>
          </c:tx>
          <c:spPr>
            <a:ln w="28575" cap="rnd" cmpd="sng" algn="ctr">
              <a:solidFill>
                <a:schemeClr val="accent6"/>
              </a:solidFill>
              <a:prstDash val="solid"/>
              <a:round/>
            </a:ln>
            <a:effectLst/>
          </c:spPr>
          <c:marker>
            <c:symbol val="circle"/>
            <c:size val="5"/>
            <c:spPr>
              <a:solidFill>
                <a:schemeClr val="accent6"/>
              </a:solidFill>
              <a:ln w="9525" cap="flat" cmpd="sng" algn="ctr">
                <a:solidFill>
                  <a:schemeClr val="accent6"/>
                </a:solidFill>
                <a:prstDash val="solid"/>
                <a:round/>
              </a:ln>
              <a:effectLst/>
            </c:spPr>
          </c:marker>
          <c:dLbls>
            <c:dLbl>
              <c:idx val="5"/>
              <c:layout>
                <c:manualLayout>
                  <c:x val="-0.0348231753197895"/>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Sheet5!$G$2:$G$7</c:f>
              <c:numCache>
                <c:formatCode>General</c:formatCode>
                <c:ptCount val="6"/>
                <c:pt idx="0">
                  <c:v>93</c:v>
                </c:pt>
                <c:pt idx="1">
                  <c:v>93</c:v>
                </c:pt>
                <c:pt idx="2">
                  <c:v>95</c:v>
                </c:pt>
                <c:pt idx="3">
                  <c:v>95</c:v>
                </c:pt>
                <c:pt idx="4">
                  <c:v>92</c:v>
                </c:pt>
                <c:pt idx="5">
                  <c:v>93</c:v>
                </c:pt>
              </c:numCache>
            </c:numRef>
          </c:val>
          <c:smooth val="0"/>
        </c:ser>
        <c:ser>
          <c:idx val="6"/>
          <c:order val="6"/>
          <c:tx>
            <c:strRef>
              <c:f>Sheet5!$H$1</c:f>
              <c:strCache>
                <c:ptCount val="1"/>
                <c:pt idx="0">
                  <c:v>齐鲁工业大学</c:v>
                </c:pt>
              </c:strCache>
            </c:strRef>
          </c:tx>
          <c:spPr>
            <a:ln w="28575" cap="rnd" cmpd="sng" algn="ctr">
              <a:solidFill>
                <a:schemeClr val="accent1">
                  <a:lumMod val="60000"/>
                </a:schemeClr>
              </a:solidFill>
              <a:prstDash val="solid"/>
              <a:round/>
            </a:ln>
            <a:effectLst/>
          </c:spPr>
          <c:marker>
            <c:symbol val="circle"/>
            <c:size val="5"/>
            <c:spPr>
              <a:solidFill>
                <a:schemeClr val="accent1">
                  <a:lumMod val="60000"/>
                </a:schemeClr>
              </a:solidFill>
              <a:ln w="9525" cap="flat" cmpd="sng" algn="ctr">
                <a:solidFill>
                  <a:schemeClr val="accent1">
                    <a:lumMod val="60000"/>
                  </a:schemeClr>
                </a:solidFill>
                <a:prstDash val="solid"/>
                <a:round/>
              </a:ln>
              <a:effectLst/>
            </c:spPr>
          </c:marker>
          <c:dLbls>
            <c:dLbl>
              <c:idx val="0"/>
              <c:layout>
                <c:manualLayout>
                  <c:x val="0"/>
                  <c:y val="0.0086393108142856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08639310814285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
                  <c:y val="0.00863931081428567"/>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1151908108571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1.10357390805411e-16"/>
                  <c:y val="0.0115190810857142"/>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Sheet5!$H$2:$H$7</c:f>
              <c:numCache>
                <c:formatCode>General</c:formatCode>
                <c:ptCount val="6"/>
                <c:pt idx="0">
                  <c:v>97</c:v>
                </c:pt>
                <c:pt idx="1">
                  <c:v>97</c:v>
                </c:pt>
                <c:pt idx="2">
                  <c:v>97</c:v>
                </c:pt>
                <c:pt idx="3">
                  <c:v>96</c:v>
                </c:pt>
                <c:pt idx="4">
                  <c:v>93</c:v>
                </c:pt>
                <c:pt idx="5">
                  <c:v>92</c:v>
                </c:pt>
              </c:numCache>
            </c:numRef>
          </c:val>
          <c:smooth val="0"/>
        </c:ser>
        <c:ser>
          <c:idx val="7"/>
          <c:order val="7"/>
          <c:tx>
            <c:strRef>
              <c:f>Sheet5!$I$1</c:f>
              <c:strCache>
                <c:ptCount val="1"/>
                <c:pt idx="0">
                  <c:v>聊城大学</c:v>
                </c:pt>
              </c:strCache>
            </c:strRef>
          </c:tx>
          <c:spPr>
            <a:ln w="28575" cap="rnd" cmpd="sng" algn="ctr">
              <a:solidFill>
                <a:schemeClr val="accent2">
                  <a:lumMod val="60000"/>
                </a:schemeClr>
              </a:solidFill>
              <a:prstDash val="solid"/>
              <a:round/>
            </a:ln>
            <a:effectLst/>
          </c:spPr>
          <c:marker>
            <c:symbol val="circle"/>
            <c:size val="5"/>
            <c:spPr>
              <a:solidFill>
                <a:schemeClr val="accent2">
                  <a:lumMod val="60000"/>
                </a:schemeClr>
              </a:solidFill>
              <a:ln w="9525" cap="flat" cmpd="sng" algn="ctr">
                <a:solidFill>
                  <a:schemeClr val="accent2">
                    <a:lumMod val="60000"/>
                  </a:schemeClr>
                </a:solidFill>
                <a:prstDash val="solid"/>
                <a:round/>
              </a:ln>
              <a:effectLst/>
            </c:spPr>
          </c:marker>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Sheet5!$I$2:$I$7</c:f>
              <c:numCache>
                <c:formatCode>General</c:formatCode>
                <c:ptCount val="6"/>
                <c:pt idx="0">
                  <c:v>113</c:v>
                </c:pt>
                <c:pt idx="1">
                  <c:v>112</c:v>
                </c:pt>
                <c:pt idx="2">
                  <c:v>111</c:v>
                </c:pt>
                <c:pt idx="3">
                  <c:v>111</c:v>
                </c:pt>
                <c:pt idx="4">
                  <c:v>112</c:v>
                </c:pt>
                <c:pt idx="5">
                  <c:v>111</c:v>
                </c:pt>
              </c:numCache>
            </c:numRef>
          </c:val>
          <c:smooth val="0"/>
        </c:ser>
        <c:ser>
          <c:idx val="8"/>
          <c:order val="8"/>
          <c:tx>
            <c:strRef>
              <c:f>Sheet5!$J$1</c:f>
              <c:strCache>
                <c:ptCount val="1"/>
                <c:pt idx="0">
                  <c:v>烟台大学</c:v>
                </c:pt>
              </c:strCache>
            </c:strRef>
          </c:tx>
          <c:spPr>
            <a:ln w="28575" cap="rnd" cmpd="sng" algn="ctr">
              <a:solidFill>
                <a:schemeClr val="accent3">
                  <a:lumMod val="60000"/>
                </a:schemeClr>
              </a:solidFill>
              <a:prstDash val="solid"/>
              <a:round/>
            </a:ln>
            <a:effectLst/>
          </c:spPr>
          <c:marker>
            <c:symbol val="circle"/>
            <c:size val="5"/>
            <c:spPr>
              <a:solidFill>
                <a:schemeClr val="accent3">
                  <a:lumMod val="60000"/>
                </a:schemeClr>
              </a:solidFill>
              <a:ln w="9525" cap="flat" cmpd="sng" algn="ctr">
                <a:solidFill>
                  <a:schemeClr val="accent3">
                    <a:lumMod val="60000"/>
                  </a:schemeClr>
                </a:solidFill>
                <a:prstDash val="solid"/>
                <a:round/>
              </a:ln>
              <a:effectLst/>
            </c:spPr>
          </c:marker>
          <c:dLbls>
            <c:dLbl>
              <c:idx val="1"/>
              <c:layout>
                <c:manualLayout>
                  <c:x val="-0.0484725357411587"/>
                  <c:y val="0.01439885135714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84725357411588"/>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84725357411588"/>
                  <c:y val="-0.0230381621714285"/>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54627539503389"/>
                  <c:y val="-0.0143988513571428"/>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1000" b="0" i="0" u="none" strike="noStrike" kern="1200" baseline="0">
                    <a:solidFill>
                      <a:schemeClr val="tx1">
                        <a:lumMod val="75000"/>
                        <a:lumOff val="25000"/>
                      </a:schemeClr>
                    </a:solidFill>
                    <a:latin typeface="+mn-lt"/>
                    <a:ea typeface="+mn-ea"/>
                    <a:cs typeface="+mn-cs"/>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Sheet5!$J$2:$J$7</c:f>
              <c:numCache>
                <c:formatCode>General</c:formatCode>
                <c:ptCount val="6"/>
                <c:pt idx="0">
                  <c:v>142</c:v>
                </c:pt>
                <c:pt idx="1">
                  <c:v>142</c:v>
                </c:pt>
                <c:pt idx="2">
                  <c:v>139</c:v>
                </c:pt>
                <c:pt idx="3">
                  <c:v>140</c:v>
                </c:pt>
                <c:pt idx="4">
                  <c:v>142</c:v>
                </c:pt>
                <c:pt idx="5">
                  <c:v>142</c:v>
                </c:pt>
              </c:numCache>
            </c:numRef>
          </c:val>
          <c:smooth val="0"/>
        </c:ser>
        <c:ser>
          <c:idx val="9"/>
          <c:order val="9"/>
          <c:tx>
            <c:strRef>
              <c:f>Sheet5!$K$1</c:f>
              <c:strCache>
                <c:ptCount val="1"/>
                <c:pt idx="0">
                  <c:v>山东理工大学</c:v>
                </c:pt>
              </c:strCache>
            </c:strRef>
          </c:tx>
          <c:spPr>
            <a:ln w="28575" cap="rnd" cmpd="sng" algn="ctr">
              <a:solidFill>
                <a:schemeClr val="accent4">
                  <a:lumMod val="60000"/>
                </a:schemeClr>
              </a:solidFill>
              <a:prstDash val="solid"/>
              <a:round/>
            </a:ln>
            <a:effectLst/>
          </c:spPr>
          <c:marker>
            <c:symbol val="circle"/>
            <c:size val="5"/>
            <c:spPr>
              <a:solidFill>
                <a:schemeClr val="accent4">
                  <a:lumMod val="60000"/>
                </a:schemeClr>
              </a:solidFill>
              <a:ln w="9525" cap="flat" cmpd="sng" algn="ctr">
                <a:solidFill>
                  <a:schemeClr val="accent4">
                    <a:lumMod val="60000"/>
                  </a:schemeClr>
                </a:solidFill>
                <a:prstDash val="solid"/>
                <a:round/>
              </a:ln>
              <a:effectLst/>
            </c:spPr>
          </c:marker>
          <c:dLbls>
            <c:dLbl>
              <c:idx val="0"/>
              <c:layout>
                <c:manualLayout>
                  <c:x val="0.00300978179082018"/>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201583918999999"/>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319187358916479"/>
                      <c:h val="0.0553061014395677"/>
                    </c:manualLayout>
                  </c15:layout>
                </c:ext>
              </c:extLst>
            </c:dLbl>
            <c:dLbl>
              <c:idx val="2"/>
              <c:layout>
                <c:manualLayout>
                  <c:x val="0"/>
                  <c:y val="-0.020158391899999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5342362678705"/>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451467268623025"/>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Sheet5!$K$2:$K$7</c:f>
              <c:numCache>
                <c:formatCode>General</c:formatCode>
                <c:ptCount val="6"/>
                <c:pt idx="0">
                  <c:v>143</c:v>
                </c:pt>
                <c:pt idx="1">
                  <c:v>143</c:v>
                </c:pt>
                <c:pt idx="2">
                  <c:v>143</c:v>
                </c:pt>
                <c:pt idx="3">
                  <c:v>142</c:v>
                </c:pt>
                <c:pt idx="4">
                  <c:v>141</c:v>
                </c:pt>
                <c:pt idx="5">
                  <c:v>141</c:v>
                </c:pt>
              </c:numCache>
            </c:numRef>
          </c:val>
          <c:smooth val="0"/>
        </c:ser>
        <c:ser>
          <c:idx val="10"/>
          <c:order val="10"/>
          <c:tx>
            <c:strRef>
              <c:f>Sheet5!$L$1</c:f>
              <c:strCache>
                <c:ptCount val="1"/>
                <c:pt idx="0">
                  <c:v>青岛农业大学</c:v>
                </c:pt>
              </c:strCache>
            </c:strRef>
          </c:tx>
          <c:spPr>
            <a:ln w="28575" cap="rnd" cmpd="sng" algn="ctr">
              <a:solidFill>
                <a:schemeClr val="accent5">
                  <a:lumMod val="60000"/>
                </a:schemeClr>
              </a:solidFill>
              <a:prstDash val="solid"/>
              <a:round/>
            </a:ln>
            <a:effectLst/>
          </c:spPr>
          <c:marker>
            <c:symbol val="circle"/>
            <c:size val="5"/>
            <c:spPr>
              <a:solidFill>
                <a:schemeClr val="accent5">
                  <a:lumMod val="60000"/>
                </a:schemeClr>
              </a:solidFill>
              <a:ln w="9525" cap="flat" cmpd="sng" algn="ctr">
                <a:solidFill>
                  <a:schemeClr val="accent5">
                    <a:lumMod val="60000"/>
                  </a:schemeClr>
                </a:solidFill>
                <a:prstDash val="solid"/>
                <a:round/>
              </a:ln>
              <a:effectLst/>
            </c:spPr>
          </c:marker>
          <c:dLbls>
            <c:dLbl>
              <c:idx val="1"/>
              <c:layout>
                <c:manualLayout>
                  <c:x val="-0.0484725357411587"/>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46967644845749"/>
                  <c:y val="0.023038162171428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Sheet5!$L$2:$L$7</c:f>
              <c:numCache>
                <c:formatCode>General</c:formatCode>
                <c:ptCount val="6"/>
                <c:pt idx="0">
                  <c:v>148</c:v>
                </c:pt>
                <c:pt idx="1">
                  <c:v>147</c:v>
                </c:pt>
                <c:pt idx="2">
                  <c:v>147</c:v>
                </c:pt>
                <c:pt idx="3">
                  <c:v>147</c:v>
                </c:pt>
                <c:pt idx="4">
                  <c:v>146</c:v>
                </c:pt>
                <c:pt idx="5">
                  <c:v>145</c:v>
                </c:pt>
              </c:numCache>
            </c:numRef>
          </c:val>
          <c:smooth val="0"/>
        </c:ser>
        <c:ser>
          <c:idx val="11"/>
          <c:order val="11"/>
          <c:tx>
            <c:strRef>
              <c:f>Sheet5!$M$1</c:f>
              <c:strCache>
                <c:ptCount val="1"/>
                <c:pt idx="0">
                  <c:v>山东农业大学</c:v>
                </c:pt>
              </c:strCache>
            </c:strRef>
          </c:tx>
          <c:spPr>
            <a:ln w="28575" cap="rnd" cmpd="sng" algn="ctr">
              <a:solidFill>
                <a:schemeClr val="accent6">
                  <a:lumMod val="60000"/>
                </a:schemeClr>
              </a:solidFill>
              <a:prstDash val="solid"/>
              <a:round/>
            </a:ln>
            <a:effectLst/>
          </c:spPr>
          <c:marker>
            <c:symbol val="circle"/>
            <c:size val="5"/>
            <c:spPr>
              <a:solidFill>
                <a:schemeClr val="accent6">
                  <a:lumMod val="60000"/>
                </a:schemeClr>
              </a:solidFill>
              <a:ln w="9525" cap="flat" cmpd="sng" algn="ctr">
                <a:solidFill>
                  <a:schemeClr val="accent6">
                    <a:lumMod val="60000"/>
                  </a:schemeClr>
                </a:solidFill>
                <a:prstDash val="solid"/>
                <a:round/>
              </a:ln>
              <a:effectLst/>
            </c:spPr>
          </c:marker>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Sheet5!$M$2:$M$7</c:f>
              <c:numCache>
                <c:formatCode>General</c:formatCode>
                <c:ptCount val="6"/>
                <c:pt idx="0">
                  <c:v>173</c:v>
                </c:pt>
                <c:pt idx="1">
                  <c:v>173</c:v>
                </c:pt>
                <c:pt idx="2">
                  <c:v>174</c:v>
                </c:pt>
                <c:pt idx="3">
                  <c:v>175</c:v>
                </c:pt>
                <c:pt idx="4">
                  <c:v>177</c:v>
                </c:pt>
                <c:pt idx="5">
                  <c:v>177</c:v>
                </c:pt>
              </c:numCache>
            </c:numRef>
          </c:val>
          <c:smooth val="0"/>
        </c:ser>
        <c:ser>
          <c:idx val="12"/>
          <c:order val="12"/>
          <c:tx>
            <c:strRef>
              <c:f>Sheet5!$N$1</c:f>
              <c:strCache>
                <c:ptCount val="1"/>
                <c:pt idx="0">
                  <c:v>山东第一医科大学</c:v>
                </c:pt>
              </c:strCache>
            </c:strRef>
          </c:tx>
          <c:spPr>
            <a:ln w="28575" cap="rnd" cmpd="sng" algn="ctr">
              <a:solidFill>
                <a:schemeClr val="accent1">
                  <a:lumMod val="80000"/>
                  <a:lumOff val="20000"/>
                </a:schemeClr>
              </a:solidFill>
              <a:prstDash val="solid"/>
              <a:round/>
            </a:ln>
            <a:effectLst/>
          </c:spPr>
          <c:marker>
            <c:symbol val="circle"/>
            <c:size val="5"/>
            <c:spPr>
              <a:solidFill>
                <a:schemeClr val="accent1">
                  <a:lumMod val="80000"/>
                  <a:lumOff val="20000"/>
                </a:schemeClr>
              </a:solidFill>
              <a:ln w="9525" cap="flat" cmpd="sng" algn="ctr">
                <a:solidFill>
                  <a:schemeClr val="accent1">
                    <a:lumMod val="80000"/>
                    <a:lumOff val="20000"/>
                  </a:schemeClr>
                </a:solidFill>
                <a:prstDash val="solid"/>
                <a:round/>
              </a:ln>
              <a:effectLst/>
            </c:spPr>
          </c:marker>
          <c:dLbls>
            <c:dLbl>
              <c:idx val="2"/>
              <c:layout>
                <c:manualLayout>
                  <c:x val="-0.0484725357411588"/>
                  <c:y val="-0.0201583918999999"/>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484725357411588"/>
                  <c:y val="-0.0172786216285713"/>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529870306843699"/>
                  <c:y val="-0.0172786216285714"/>
                </c:manualLayout>
              </c:layout>
              <c:dLblPos val="r"/>
              <c:showLegendKey val="0"/>
              <c:showVal val="1"/>
              <c:showCatName val="0"/>
              <c:showSerName val="0"/>
              <c:showPercent val="0"/>
              <c:showBubbleSize val="0"/>
              <c:extLst>
                <c:ext xmlns:c15="http://schemas.microsoft.com/office/drawing/2012/chart" uri="{CE6537A1-D6FC-4f65-9D91-7224C49458BB}">
                  <c15:layout>
                    <c:manualLayout>
                      <c:w val="0.0409480812641083"/>
                      <c:h val="0.0581858717109962"/>
                    </c:manualLayout>
                  </c15:layout>
                </c:ext>
              </c:extLst>
            </c:dLbl>
            <c:dLbl>
              <c:idx val="5"/>
              <c:layout>
                <c:manualLayout>
                  <c:x val="-0.046967644845749"/>
                  <c:y val="-0.025917932442857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l"/>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Sheet5!$N$2:$N$7</c:f>
              <c:numCache>
                <c:formatCode>General</c:formatCode>
                <c:ptCount val="6"/>
                <c:pt idx="0">
                  <c:v>203</c:v>
                </c:pt>
                <c:pt idx="1">
                  <c:v>202</c:v>
                </c:pt>
                <c:pt idx="2">
                  <c:v>203</c:v>
                </c:pt>
                <c:pt idx="3">
                  <c:v>204</c:v>
                </c:pt>
                <c:pt idx="4">
                  <c:v>214</c:v>
                </c:pt>
                <c:pt idx="5">
                  <c:v>214</c:v>
                </c:pt>
              </c:numCache>
            </c:numRef>
          </c:val>
          <c:smooth val="0"/>
        </c:ser>
        <c:ser>
          <c:idx val="13"/>
          <c:order val="13"/>
          <c:tx>
            <c:strRef>
              <c:f>Sheet5!$O$1</c:f>
              <c:strCache>
                <c:ptCount val="1"/>
                <c:pt idx="0">
                  <c:v>临沂大学</c:v>
                </c:pt>
              </c:strCache>
            </c:strRef>
          </c:tx>
          <c:spPr>
            <a:ln w="28575" cap="rnd" cmpd="sng" algn="ctr">
              <a:solidFill>
                <a:schemeClr val="accent2">
                  <a:lumMod val="80000"/>
                  <a:lumOff val="20000"/>
                </a:schemeClr>
              </a:solidFill>
              <a:prstDash val="solid"/>
              <a:round/>
            </a:ln>
            <a:effectLst/>
          </c:spPr>
          <c:marker>
            <c:symbol val="circle"/>
            <c:size val="5"/>
            <c:spPr>
              <a:solidFill>
                <a:schemeClr val="accent2">
                  <a:lumMod val="80000"/>
                  <a:lumOff val="20000"/>
                </a:schemeClr>
              </a:solidFill>
              <a:ln w="9525" cap="flat" cmpd="sng" algn="ctr">
                <a:solidFill>
                  <a:schemeClr val="accent2">
                    <a:lumMod val="80000"/>
                    <a:lumOff val="20000"/>
                  </a:schemeClr>
                </a:solidFill>
                <a:prstDash val="solid"/>
                <a:round/>
              </a:ln>
              <a:effectLst/>
            </c:spPr>
          </c:marker>
          <c:dLbls>
            <c:spPr>
              <a:noFill/>
              <a:ln>
                <a:noFill/>
              </a:ln>
              <a:effectLst/>
            </c:spPr>
            <c:txPr>
              <a:bodyPr rot="0" spcFirstLastPara="1"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numRef>
              <c:f>Sheet5!$A$2:$A$7</c:f>
              <c:numCache>
                <c:formatCode>General</c:formatCode>
                <c:ptCount val="6"/>
                <c:pt idx="0">
                  <c:v>2022.9</c:v>
                </c:pt>
                <c:pt idx="1">
                  <c:v>2022.11</c:v>
                </c:pt>
                <c:pt idx="2">
                  <c:v>2023.1</c:v>
                </c:pt>
                <c:pt idx="3">
                  <c:v>2023.3</c:v>
                </c:pt>
                <c:pt idx="4">
                  <c:v>2023.5</c:v>
                </c:pt>
                <c:pt idx="5">
                  <c:v>2023.7</c:v>
                </c:pt>
              </c:numCache>
            </c:numRef>
          </c:cat>
          <c:val>
            <c:numRef>
              <c:f>Sheet5!$O$2:$O$7</c:f>
              <c:numCache>
                <c:formatCode>General</c:formatCode>
                <c:ptCount val="6"/>
                <c:pt idx="0">
                  <c:v>205</c:v>
                </c:pt>
                <c:pt idx="1">
                  <c:v>205</c:v>
                </c:pt>
                <c:pt idx="2">
                  <c:v>206</c:v>
                </c:pt>
                <c:pt idx="3">
                  <c:v>206</c:v>
                </c:pt>
                <c:pt idx="4">
                  <c:v>205</c:v>
                </c:pt>
                <c:pt idx="5">
                  <c:v>206</c:v>
                </c:pt>
              </c:numCache>
            </c:numRef>
          </c:val>
          <c:smooth val="0"/>
        </c:ser>
        <c:dLbls>
          <c:showLegendKey val="0"/>
          <c:showVal val="1"/>
          <c:showCatName val="0"/>
          <c:showSerName val="0"/>
          <c:showPercent val="0"/>
          <c:showBubbleSize val="0"/>
        </c:dLbls>
        <c:marker val="1"/>
        <c:smooth val="0"/>
        <c:axId val="204248192"/>
        <c:axId val="204249728"/>
      </c:lineChart>
      <c:catAx>
        <c:axId val="204248192"/>
        <c:scaling>
          <c:orientation val="minMax"/>
        </c:scaling>
        <c:delete val="0"/>
        <c:axPos val="t"/>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204249728"/>
        <c:crosses val="autoZero"/>
        <c:auto val="1"/>
        <c:lblAlgn val="ctr"/>
        <c:lblOffset val="100"/>
        <c:noMultiLvlLbl val="0"/>
      </c:catAx>
      <c:valAx>
        <c:axId val="204249728"/>
        <c:scaling>
          <c:orientation val="maxMin"/>
          <c:max val="225"/>
          <c:min val="4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low"/>
        <c:spPr>
          <a:noFill/>
          <a:ln w="9525" cap="flat" cmpd="sng" algn="ctr">
            <a:noFill/>
            <a:prstDash val="solid"/>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204248192"/>
        <c:crosses val="autoZero"/>
        <c:crossBetween val="between"/>
        <c:majorUnit val="20"/>
        <c:minorUnit val="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spc="0" baseline="0">
                <a:solidFill>
                  <a:schemeClr val="tx1">
                    <a:lumMod val="65000"/>
                    <a:lumOff val="35000"/>
                  </a:schemeClr>
                </a:solidFill>
                <a:latin typeface="+mn-lt"/>
                <a:ea typeface="+mn-ea"/>
                <a:cs typeface="+mn-cs"/>
              </a:defRPr>
            </a:pPr>
            <a:r>
              <a:rPr lang="en-US" altLang="zh-CN" sz="1600" b="1"/>
              <a:t>CNCI</a:t>
            </a:r>
            <a:endParaRPr lang="zh-CN" altLang="en-US" sz="1600" b="1"/>
          </a:p>
        </c:rich>
      </c:tx>
      <c:layout>
        <c:manualLayout>
          <c:xMode val="edge"/>
          <c:yMode val="edge"/>
          <c:x val="0.438633120650714"/>
          <c:y val="0.0186915933700281"/>
        </c:manualLayout>
      </c:layout>
      <c:overlay val="0"/>
      <c:spPr>
        <a:noFill/>
        <a:ln>
          <a:noFill/>
        </a:ln>
        <a:effectLst/>
      </c:spPr>
    </c:title>
    <c:autoTitleDeleted val="0"/>
    <c:plotArea>
      <c:layout/>
      <c:scatterChart>
        <c:scatterStyle val="smoothMarker"/>
        <c:varyColors val="0"/>
        <c:ser>
          <c:idx val="1"/>
          <c:order val="1"/>
          <c:tx>
            <c:strRef>
              <c:f>全球平均水平</c:f>
              <c:strCache>
                <c:ptCount val="1"/>
                <c:pt idx="0">
                  <c:v>全球平均水平</c:v>
                </c:pt>
              </c:strCache>
            </c:strRef>
          </c:tx>
          <c:spPr>
            <a:ln w="19050" cap="rnd" cmpd="sng" algn="ctr">
              <a:solidFill>
                <a:schemeClr val="accent2"/>
              </a:solidFill>
              <a:prstDash val="solid"/>
              <a:round/>
            </a:ln>
            <a:effectLst/>
          </c:spPr>
          <c:marker>
            <c:symbol val="none"/>
          </c:marker>
          <c:dLbls>
            <c:dLbl>
              <c:idx val="0"/>
              <c:delete val="1"/>
            </c:dLbl>
            <c:dLbl>
              <c:idx val="1"/>
              <c:layout>
                <c:manualLayout>
                  <c:x val="0.0842943615787868"/>
                  <c:y val="0.0420560850825631"/>
                </c:manualLayout>
              </c:layout>
              <c:tx>
                <c:rich>
                  <a:bodyPr rot="0" spcFirstLastPara="1" vertOverflow="clip" horzOverflow="clip" vert="horz" wrap="square" lIns="38100" tIns="19050" rIns="38100" bIns="19050" anchor="ctr" anchorCtr="1">
                    <a:noAutofit/>
                  </a:bodyPr>
                  <a:lstStyle/>
                  <a:p>
                    <a:pPr>
                      <a:defRPr lang="zh-CN" sz="900" b="0" i="0" u="none" strike="noStrike" kern="1200" baseline="0">
                        <a:solidFill>
                          <a:schemeClr val="dk1">
                            <a:lumMod val="65000"/>
                            <a:lumOff val="35000"/>
                          </a:schemeClr>
                        </a:solidFill>
                        <a:latin typeface="+mn-lt"/>
                        <a:ea typeface="+mn-ea"/>
                        <a:cs typeface="+mn-cs"/>
                      </a:defRPr>
                    </a:pPr>
                    <a:r>
                      <a:rPr lang="zh-CN" altLang="en-US" sz="1050" b="1">
                        <a:solidFill>
                          <a:srgbClr val="FF0000"/>
                        </a:solidFill>
                      </a:rPr>
                      <a:t>全球平均水平</a:t>
                    </a:r>
                    <a:endParaRPr lang="zh-CN" altLang="en-US" sz="1050" b="1">
                      <a:solidFill>
                        <a:srgbClr val="FF0000"/>
                      </a:solidFill>
                    </a:endParaRPr>
                  </a:p>
                </c:rich>
              </c:tx>
              <c:numFmt formatCode="General" sourceLinked="1"/>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noAutofit/>
                </a:bodyPr>
                <a:lstStyle/>
                <a:p>
                  <a:pPr>
                    <a:defRPr lang="zh-CN" sz="900" b="0" i="0" u="none" strike="noStrike" kern="1200" baseline="0">
                      <a:solidFill>
                        <a:schemeClr val="dk1">
                          <a:lumMod val="65000"/>
                          <a:lumOff val="35000"/>
                        </a:schemeClr>
                      </a:solidFill>
                      <a:latin typeface="+mn-lt"/>
                      <a:ea typeface="+mn-ea"/>
                      <a:cs typeface="+mn-cs"/>
                    </a:defRPr>
                  </a:pPr>
                </a:p>
              </c:txPr>
              <c:dLblPos val="r"/>
              <c:showLegendKey val="0"/>
              <c:showVal val="1"/>
              <c:showCatName val="1"/>
              <c:showSerName val="0"/>
              <c:showPercent val="0"/>
              <c:showBubbleSize val="0"/>
              <c:extLst>
                <c:ext xmlns:c15="http://schemas.microsoft.com/office/drawing/2012/chart" uri="{CE6537A1-D6FC-4f65-9D91-7224C49458BB}">
                  <c15:layout>
                    <c:manualLayout>
                      <c:w val="0.157302554753878"/>
                      <c:h val="0.0907214390858879"/>
                    </c:manualLayout>
                  </c15:layout>
                </c:ext>
              </c:extLst>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ext>
            </c:extLst>
          </c:dLbls>
          <c:xVal>
            <c:numRef>
              <c:f>Sheet6!$C$16:$C$31</c:f>
              <c:numCache>
                <c:formatCode>General</c:formatCode>
                <c:ptCount val="1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numCache>
            </c:numRef>
          </c:xVal>
          <c:yVal>
            <c:numRef>
              <c:f>Sheet6!$H$16:$H$31</c:f>
              <c:numCache>
                <c:formatCode>General</c:formatCode>
                <c:ptCount val="16"/>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numCache>
            </c:numRef>
          </c:yVal>
          <c:smooth val="1"/>
        </c:ser>
        <c:dLbls>
          <c:showLegendKey val="0"/>
          <c:showVal val="1"/>
          <c:showCatName val="1"/>
          <c:showSerName val="0"/>
          <c:showPercent val="0"/>
          <c:showBubbleSize val="0"/>
        </c:dLbls>
        <c:axId val="209203584"/>
        <c:axId val="209205120"/>
      </c:scatterChart>
      <c:scatterChart>
        <c:scatterStyle val="lineMarker"/>
        <c:varyColors val="0"/>
        <c:ser>
          <c:idx val="0"/>
          <c:order val="0"/>
          <c:spPr>
            <a:ln w="28575" cap="rnd" cmpd="sng" algn="ctr">
              <a:noFill/>
              <a:prstDash val="solid"/>
              <a:round/>
            </a:ln>
            <a:effectLst/>
          </c:spPr>
          <c:marker>
            <c:symbol val="circle"/>
            <c:size val="5"/>
            <c:spPr>
              <a:solidFill>
                <a:schemeClr val="accent1"/>
              </a:solidFill>
              <a:ln w="9525" cap="flat" cmpd="sng" algn="ctr">
                <a:solidFill>
                  <a:schemeClr val="accent1"/>
                </a:solidFill>
                <a:prstDash val="solid"/>
                <a:round/>
              </a:ln>
              <a:effectLst/>
            </c:spPr>
          </c:marker>
          <c:dLbls>
            <c:dLbl>
              <c:idx val="0"/>
              <c:layout>
                <c:manualLayout>
                  <c:x val="0.032520325203252"/>
                  <c:y val="-0.00934579668501406"/>
                </c:manualLayout>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青岛科技大学</a:t>
                    </a:r>
                    <a:r>
                      <a:rPr lang="en-US" altLang="en-US"/>
                      <a:t>, 1.27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ext>
              </c:extLst>
            </c:dLbl>
            <c:dLbl>
              <c:idx val="1"/>
              <c:layout>
                <c:manualLayout>
                  <c:x val="0.00903342366757001"/>
                  <c:y val="-0.0654205767950983"/>
                </c:manualLayout>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济南大学</a:t>
                    </a:r>
                    <a:r>
                      <a:rPr lang="en-US" altLang="en-US"/>
                      <a:t>, 1.36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ext>
              </c:extLst>
            </c:dLbl>
            <c:dLbl>
              <c:idx val="2"/>
              <c:layout>
                <c:manualLayout>
                  <c:x val="0.0740740740740741"/>
                  <c:y val="-0.0467289834250701"/>
                </c:manualLayout>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青岛大学</a:t>
                    </a:r>
                    <a:r>
                      <a:rPr lang="en-US" altLang="en-US"/>
                      <a:t>, 1.85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ext>
              </c:extLst>
            </c:dLbl>
            <c:dLbl>
              <c:idx val="3"/>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山东科技大学</a:t>
                    </a:r>
                    <a:r>
                      <a:rPr lang="en-US" altLang="en-US"/>
                      <a:t>, 1.70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15:xForSave val="1"/>
                </c:ext>
              </c:extLst>
            </c:dLbl>
            <c:dLbl>
              <c:idx val="4"/>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山东师范大学</a:t>
                    </a:r>
                    <a:r>
                      <a:rPr lang="en-US" altLang="en-US"/>
                      <a:t>, 1.59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15:xForSave val="1"/>
                </c:ext>
              </c:extLst>
            </c:dLbl>
            <c:dLbl>
              <c:idx val="5"/>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齐鲁工业大学</a:t>
                    </a:r>
                    <a:r>
                      <a:rPr lang="en-US" altLang="en-US"/>
                      <a:t>, 1.14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15:xForSave val="1"/>
                </c:ext>
              </c:extLst>
            </c:dLbl>
            <c:dLbl>
              <c:idx val="6"/>
              <c:layout>
                <c:manualLayout>
                  <c:x val="0"/>
                  <c:y val="-0.0352631609798778"/>
                </c:manualLayout>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曲阜师范大学</a:t>
                    </a:r>
                    <a:r>
                      <a:rPr lang="en-US" altLang="en-US"/>
                      <a:t>, 1.36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ext>
              </c:extLst>
            </c:dLbl>
            <c:dLbl>
              <c:idx val="7"/>
              <c:layout>
                <c:manualLayout>
                  <c:x val="0.00117697940707642"/>
                  <c:y val="-0.0747662311578875"/>
                </c:manualLayout>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聊城大学</a:t>
                    </a:r>
                    <a:r>
                      <a:rPr lang="en-US" altLang="en-US"/>
                      <a:t>, 1.15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ext>
              </c:extLst>
            </c:dLbl>
            <c:dLbl>
              <c:idx val="8"/>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山东理工大学</a:t>
                    </a:r>
                    <a:r>
                      <a:rPr lang="en-US" altLang="en-US"/>
                      <a:t>, 1.00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15:xForSave val="1"/>
                </c:ext>
              </c:extLst>
            </c:dLbl>
            <c:dLbl>
              <c:idx val="9"/>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烟台大学</a:t>
                    </a:r>
                    <a:r>
                      <a:rPr lang="en-US" altLang="en-US"/>
                      <a:t>, 1.18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15:xForSave val="1"/>
                </c:ext>
              </c:extLst>
            </c:dLbl>
            <c:dLbl>
              <c:idx val="10"/>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青岛农业大学</a:t>
                    </a:r>
                    <a:r>
                      <a:rPr lang="en-US" altLang="en-US"/>
                      <a:t>, 1.54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15:xForSave val="1"/>
                </c:ext>
              </c:extLst>
            </c:dLbl>
            <c:dLbl>
              <c:idx val="11"/>
              <c:layout>
                <c:manualLayout>
                  <c:x val="0.010840108401084"/>
                  <c:y val="-0.0778816390417838"/>
                </c:manualLayout>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山东农业大学</a:t>
                    </a:r>
                    <a:r>
                      <a:rPr lang="en-US" altLang="en-US"/>
                      <a:t>, 1.11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ext>
              </c:extLst>
            </c:dLbl>
            <c:dLbl>
              <c:idx val="12"/>
              <c:layout>
                <c:manualLayout>
                  <c:x val="0.0704607046070462"/>
                  <c:y val="-0.0654205767950982"/>
                </c:manualLayout>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临沂大学</a:t>
                    </a:r>
                    <a:r>
                      <a:rPr lang="en-US" altLang="en-US"/>
                      <a:t>, 1.03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ext>
              </c:extLst>
            </c:dLbl>
            <c:dLbl>
              <c:idx val="13"/>
              <c:layout/>
              <c:tx>
                <c:rich>
                  <a:bodyPr rot="0" spcFirstLastPara="1" vertOverflow="ellipsis" vert="horz" wrap="square" lIns="38100" tIns="19050" rIns="38100" bIns="19050" anchor="ctr" anchorCtr="1"/>
                  <a:lstStyle/>
                  <a:p>
                    <a:pPr>
                      <a:defRPr lang="zh-CN" sz="1000" b="1" i="0" u="none" strike="noStrike" kern="1200" baseline="0">
                        <a:solidFill>
                          <a:schemeClr val="tx1">
                            <a:lumMod val="75000"/>
                            <a:lumOff val="25000"/>
                          </a:schemeClr>
                        </a:solidFill>
                        <a:latin typeface="+mn-lt"/>
                        <a:ea typeface="+mn-ea"/>
                        <a:cs typeface="+mn-cs"/>
                      </a:defRPr>
                    </a:pPr>
                    <a:r>
                      <a:rPr lang="zh-CN" altLang="en-US"/>
                      <a:t>山东第一医科大学</a:t>
                    </a:r>
                    <a:r>
                      <a:rPr lang="en-US" altLang="en-US"/>
                      <a:t>, 0.94 </a:t>
                    </a:r>
                    <a:endParaRPr lang="en-US" altLang="en-US"/>
                  </a:p>
                </c:rich>
              </c:tx>
              <c:dLblPos val="b"/>
              <c:showLegendKey val="0"/>
              <c:showVal val="1"/>
              <c:showCatName val="1"/>
              <c:showSerName val="0"/>
              <c:showPercent val="0"/>
              <c:showBubbleSize val="0"/>
              <c:separator>, </c:separator>
              <c:extLst>
                <c:ext xmlns:c15="http://schemas.microsoft.com/office/drawing/2012/chart" uri="{CE6537A1-D6FC-4f65-9D91-7224C49458BB}">
                  <c15:layout/>
                  <c15:dlblFieldTable/>
                  <c15:xForSave val="1"/>
                </c:ext>
              </c:extLst>
            </c:dLbl>
            <c:spPr>
              <a:noFill/>
              <a:ln>
                <a:noFill/>
              </a:ln>
              <a:effectLst/>
            </c:spPr>
            <c:txPr>
              <a:bodyPr rot="0" spcFirstLastPara="1" vertOverflow="ellipsis" vert="horz" wrap="square" lIns="38100" tIns="19050" rIns="38100" bIns="19050" anchor="ctr" anchorCtr="1">
                <a:spAutoFit/>
              </a:bodyPr>
              <a:lstStyle/>
              <a:p>
                <a:pPr>
                  <a:defRPr lang="zh-CN" sz="1000" b="1" i="0" u="none" strike="noStrike" kern="1200" baseline="0">
                    <a:solidFill>
                      <a:schemeClr val="tx1">
                        <a:lumMod val="75000"/>
                        <a:lumOff val="25000"/>
                      </a:schemeClr>
                    </a:solidFill>
                    <a:latin typeface="+mn-lt"/>
                    <a:ea typeface="+mn-ea"/>
                    <a:cs typeface="+mn-cs"/>
                  </a:defRPr>
                </a:pPr>
              </a:p>
            </c:txPr>
            <c:dLblPos val="b"/>
            <c:showLegendKey val="0"/>
            <c:showVal val="1"/>
            <c:showCatName val="1"/>
            <c:showSerName val="0"/>
            <c:showPercent val="0"/>
            <c:showBubbleSize val="0"/>
            <c:separator>, </c:separator>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prstDash val="solid"/>
                      <a:round/>
                    </a:ln>
                    <a:effectLst/>
                  </c:spPr>
                </c15:leaderLines>
              </c:ext>
            </c:extLst>
          </c:dLbls>
          <c:xVal>
            <c:strRef>
              <c:f>Sheet6!$B$17:$B$30</c:f>
              <c:strCache>
                <c:ptCount val="14"/>
                <c:pt idx="0">
                  <c:v>青岛科技大学</c:v>
                </c:pt>
                <c:pt idx="1">
                  <c:v>济南大学</c:v>
                </c:pt>
                <c:pt idx="2">
                  <c:v>青岛大学</c:v>
                </c:pt>
                <c:pt idx="3">
                  <c:v>山东科技大学</c:v>
                </c:pt>
                <c:pt idx="4">
                  <c:v>山东师范大学</c:v>
                </c:pt>
                <c:pt idx="5">
                  <c:v>齐鲁工业大学</c:v>
                </c:pt>
                <c:pt idx="6">
                  <c:v>曲阜师范大学</c:v>
                </c:pt>
                <c:pt idx="7">
                  <c:v>聊城大学</c:v>
                </c:pt>
                <c:pt idx="8">
                  <c:v>山东理工大学</c:v>
                </c:pt>
                <c:pt idx="9">
                  <c:v>烟台大学</c:v>
                </c:pt>
                <c:pt idx="10">
                  <c:v>青岛农业大学</c:v>
                </c:pt>
                <c:pt idx="11">
                  <c:v>山东农业大学</c:v>
                </c:pt>
                <c:pt idx="12">
                  <c:v>临沂大学</c:v>
                </c:pt>
                <c:pt idx="13">
                  <c:v>山东第一医科大学</c:v>
                </c:pt>
              </c:strCache>
            </c:strRef>
          </c:xVal>
          <c:yVal>
            <c:numRef>
              <c:f>Sheet6!$F$17:$F$30</c:f>
              <c:numCache>
                <c:formatCode>0.00_ </c:formatCode>
                <c:ptCount val="14"/>
                <c:pt idx="0">
                  <c:v>1.26947513861563</c:v>
                </c:pt>
                <c:pt idx="1">
                  <c:v>1.359950310559</c:v>
                </c:pt>
                <c:pt idx="2">
                  <c:v>1.85185956401596</c:v>
                </c:pt>
                <c:pt idx="3">
                  <c:v>1.70074660074165</c:v>
                </c:pt>
                <c:pt idx="4">
                  <c:v>1.5888952</c:v>
                </c:pt>
                <c:pt idx="5">
                  <c:v>1.14141494778067</c:v>
                </c:pt>
                <c:pt idx="6">
                  <c:v>1.35815370950888</c:v>
                </c:pt>
                <c:pt idx="7">
                  <c:v>1.14676182867288</c:v>
                </c:pt>
                <c:pt idx="8">
                  <c:v>1.00129164705882</c:v>
                </c:pt>
                <c:pt idx="9">
                  <c:v>1.17974076317383</c:v>
                </c:pt>
                <c:pt idx="10">
                  <c:v>1.54408132295719</c:v>
                </c:pt>
                <c:pt idx="11">
                  <c:v>1.11362312030075</c:v>
                </c:pt>
                <c:pt idx="12">
                  <c:v>1.02810193401592</c:v>
                </c:pt>
                <c:pt idx="13">
                  <c:v>0.93886188992731</c:v>
                </c:pt>
              </c:numCache>
            </c:numRef>
          </c:yVal>
          <c:smooth val="0"/>
          <c:extLst/>
        </c:ser>
        <c:dLbls>
          <c:showLegendKey val="0"/>
          <c:showVal val="1"/>
          <c:showCatName val="1"/>
          <c:showSerName val="0"/>
          <c:showPercent val="0"/>
          <c:showBubbleSize val="0"/>
        </c:dLbls>
        <c:axId val="209203584"/>
        <c:axId val="209205120"/>
      </c:scatterChart>
      <c:valAx>
        <c:axId val="209203584"/>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209205120"/>
        <c:crosses val="autoZero"/>
        <c:crossBetween val="midCat"/>
      </c:valAx>
      <c:valAx>
        <c:axId val="209205120"/>
        <c:scaling>
          <c:orientation val="minMax"/>
          <c:max val="2"/>
          <c:min val="0.600000000000001"/>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crossAx val="209203584"/>
        <c:crosses val="autoZero"/>
        <c:crossBetween val="midCat"/>
        <c:min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C52523-6457-48F0-BCA4-C578C08B233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85</Pages>
  <Words>28665</Words>
  <Characters>163391</Characters>
  <Lines>1361</Lines>
  <Paragraphs>383</Paragraphs>
  <TotalTime>61</TotalTime>
  <ScaleCrop>false</ScaleCrop>
  <LinksUpToDate>false</LinksUpToDate>
  <CharactersWithSpaces>191673</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2023-07-14T04:21:00Z</dcterms:created>
  <dc:creator>mark</dc:creator>
  <cp:lastModifiedBy>zys</cp:lastModifiedBy>
  <cp:lastPrinted>2018-05-24T11:05:00Z</cp:lastPrinted>
  <dcterms:modified xsi:type="dcterms:W3CDTF">2023-08-03T05:37:01Z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F9F07CF529B24DB9B2C8EFFDA69514E0</vt:lpwstr>
  </property>
</Properties>
</file>